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88687" w14:textId="1E978318" w:rsidR="00CE519E" w:rsidRPr="00CE519E" w:rsidRDefault="00CE519E" w:rsidP="00CE519E">
      <w:pPr>
        <w:jc w:val="center"/>
        <w:rPr>
          <w:rFonts w:ascii="Arial" w:hAnsi="Arial" w:cs="Arial"/>
          <w:b/>
          <w:bCs/>
          <w:sz w:val="36"/>
          <w:szCs w:val="36"/>
          <w:lang w:val="lt-LT"/>
        </w:rPr>
      </w:pPr>
      <w:r w:rsidRPr="00CE519E">
        <w:rPr>
          <w:rFonts w:ascii="Arial" w:hAnsi="Arial" w:cs="Arial"/>
          <w:b/>
          <w:bCs/>
          <w:sz w:val="36"/>
          <w:szCs w:val="36"/>
          <w:lang w:val="lt-LT"/>
        </w:rPr>
        <w:t xml:space="preserve">Teisinių </w:t>
      </w:r>
      <w:r>
        <w:rPr>
          <w:rFonts w:ascii="Arial" w:hAnsi="Arial" w:cs="Arial"/>
          <w:b/>
          <w:bCs/>
          <w:sz w:val="36"/>
          <w:szCs w:val="36"/>
          <w:lang w:val="lt-LT"/>
        </w:rPr>
        <w:t>BIVP</w:t>
      </w:r>
      <w:r w:rsidRPr="00CE519E">
        <w:rPr>
          <w:rFonts w:ascii="Arial" w:hAnsi="Arial" w:cs="Arial"/>
          <w:b/>
          <w:bCs/>
          <w:sz w:val="36"/>
          <w:szCs w:val="36"/>
          <w:lang w:val="lt-LT"/>
        </w:rPr>
        <w:t xml:space="preserve"> ir LEADER priemonių pokyčių 2028–2034 m. finansinėje programoje analizė ir jų pasekmės vietos veiklos grupėms</w:t>
      </w:r>
    </w:p>
    <w:p w14:paraId="049DAC08"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 ĮVADAS – ES FINANSINĖS PROGRAMOS PERTVARKA IR FONDŲ INTEGRAVIMO PRIELAIDOS</w:t>
      </w:r>
    </w:p>
    <w:p w14:paraId="2FDD7138" w14:textId="77777777" w:rsidR="00CE519E" w:rsidRPr="00CE519E" w:rsidRDefault="00CE519E" w:rsidP="00CE519E">
      <w:pPr>
        <w:jc w:val="both"/>
        <w:rPr>
          <w:rFonts w:ascii="Arial" w:hAnsi="Arial" w:cs="Arial"/>
          <w:lang w:val="lt-LT"/>
        </w:rPr>
      </w:pPr>
      <w:r w:rsidRPr="00CE519E">
        <w:rPr>
          <w:rFonts w:ascii="Arial" w:hAnsi="Arial" w:cs="Arial"/>
          <w:b/>
          <w:bCs/>
          <w:lang w:val="lt-LT"/>
        </w:rPr>
        <w:t>1.</w:t>
      </w:r>
      <w:r w:rsidRPr="00CE519E">
        <w:rPr>
          <w:rFonts w:ascii="Arial" w:hAnsi="Arial" w:cs="Arial"/>
          <w:lang w:val="lt-LT"/>
        </w:rPr>
        <w:t xml:space="preserve"> Naujas Europos Sąjungos biudžeto programavimo laikotarpis 2028–2034 metams numato esminę iki šiol galiojusios fondų struktūros pertvarką. 2025 m. liepos 16 d. Europos Komisija, pateikdama teisėkūros pasiūlymus COM(2025) 565 ir COM(2025) 560, pasiūlė daugelį atskirų finansinių priemonių sujungti į bendrą </w:t>
      </w:r>
      <w:r w:rsidRPr="00CE519E">
        <w:rPr>
          <w:rFonts w:ascii="Arial" w:hAnsi="Arial" w:cs="Arial"/>
          <w:b/>
          <w:bCs/>
          <w:lang w:val="lt-LT"/>
        </w:rPr>
        <w:t>Europos ekonominės, teritorinės ir socialinės sanglaudos, žemės ūkio ir kaimo vietovių, žuvininkystės ir jūrų ekonomikos, klestėjimo ir saugumo fondą</w:t>
      </w:r>
      <w:r w:rsidRPr="00CE519E">
        <w:rPr>
          <w:rFonts w:ascii="Arial" w:hAnsi="Arial" w:cs="Arial"/>
          <w:lang w:val="lt-LT"/>
        </w:rPr>
        <w:t>.</w:t>
      </w:r>
    </w:p>
    <w:p w14:paraId="5D4D41AA"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Svarbiausia šios reformos institucinė naujovė – dabartinės </w:t>
      </w:r>
      <w:proofErr w:type="spellStart"/>
      <w:r w:rsidRPr="00CE519E">
        <w:rPr>
          <w:rFonts w:ascii="Arial" w:hAnsi="Arial" w:cs="Arial"/>
          <w:lang w:val="lt-LT"/>
        </w:rPr>
        <w:t>daugiaprogramės</w:t>
      </w:r>
      <w:proofErr w:type="spellEnd"/>
      <w:r w:rsidRPr="00CE519E">
        <w:rPr>
          <w:rFonts w:ascii="Arial" w:hAnsi="Arial" w:cs="Arial"/>
          <w:lang w:val="lt-LT"/>
        </w:rPr>
        <w:t xml:space="preserve"> veiklos programų sistemos pakeitimas integruotais </w:t>
      </w:r>
      <w:r w:rsidRPr="00CE519E">
        <w:rPr>
          <w:rFonts w:ascii="Arial" w:hAnsi="Arial" w:cs="Arial"/>
          <w:b/>
          <w:bCs/>
          <w:lang w:val="lt-LT"/>
        </w:rPr>
        <w:t>Nacionaliniais ir regioniniais partnerystės planais</w:t>
      </w:r>
      <w:r w:rsidRPr="00CE519E">
        <w:rPr>
          <w:rFonts w:ascii="Arial" w:hAnsi="Arial" w:cs="Arial"/>
          <w:lang w:val="lt-LT"/>
        </w:rPr>
        <w:t xml:space="preserve"> (toliau – </w:t>
      </w:r>
      <w:r w:rsidRPr="00CE519E">
        <w:rPr>
          <w:rFonts w:ascii="Arial" w:hAnsi="Arial" w:cs="Arial"/>
          <w:b/>
          <w:bCs/>
          <w:lang w:val="lt-LT"/>
        </w:rPr>
        <w:t>NRP planas</w:t>
      </w:r>
      <w:r w:rsidRPr="00CE519E">
        <w:rPr>
          <w:rFonts w:ascii="Arial" w:hAnsi="Arial" w:cs="Arial"/>
          <w:lang w:val="lt-LT"/>
        </w:rPr>
        <w:t>), kurių kiekviena valstybė narė turėtų po vieną.</w:t>
      </w:r>
    </w:p>
    <w:p w14:paraId="77DD0C2B"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Šia plataus masto integracija, grindžiama </w:t>
      </w:r>
      <w:r w:rsidRPr="00CE519E">
        <w:rPr>
          <w:rFonts w:ascii="Arial" w:hAnsi="Arial" w:cs="Arial"/>
          <w:b/>
          <w:bCs/>
          <w:lang w:val="lt-LT"/>
        </w:rPr>
        <w:t>vieningo taisyklių rinkinio (</w:t>
      </w:r>
      <w:proofErr w:type="spellStart"/>
      <w:r w:rsidRPr="00CE519E">
        <w:rPr>
          <w:rFonts w:ascii="Arial" w:hAnsi="Arial" w:cs="Arial"/>
          <w:b/>
          <w:bCs/>
          <w:lang w:val="lt-LT"/>
        </w:rPr>
        <w:t>single</w:t>
      </w:r>
      <w:proofErr w:type="spellEnd"/>
      <w:r w:rsidRPr="00CE519E">
        <w:rPr>
          <w:rFonts w:ascii="Arial" w:hAnsi="Arial" w:cs="Arial"/>
          <w:b/>
          <w:bCs/>
          <w:lang w:val="lt-LT"/>
        </w:rPr>
        <w:t xml:space="preserve"> </w:t>
      </w:r>
      <w:proofErr w:type="spellStart"/>
      <w:r w:rsidRPr="00CE519E">
        <w:rPr>
          <w:rFonts w:ascii="Arial" w:hAnsi="Arial" w:cs="Arial"/>
          <w:b/>
          <w:bCs/>
          <w:lang w:val="lt-LT"/>
        </w:rPr>
        <w:t>rulebook</w:t>
      </w:r>
      <w:proofErr w:type="spellEnd"/>
      <w:r w:rsidRPr="00CE519E">
        <w:rPr>
          <w:rFonts w:ascii="Arial" w:hAnsi="Arial" w:cs="Arial"/>
          <w:b/>
          <w:bCs/>
          <w:lang w:val="lt-LT"/>
        </w:rPr>
        <w:t>)</w:t>
      </w:r>
      <w:r w:rsidRPr="00CE519E">
        <w:rPr>
          <w:rFonts w:ascii="Arial" w:hAnsi="Arial" w:cs="Arial"/>
          <w:lang w:val="lt-LT"/>
        </w:rPr>
        <w:t xml:space="preserve"> koncepcija, taip pat siekiama panaikinti tradicinį Bendrosios žemės ūkio politikos (BŽŪP) padalijimą į du atskirus ramsčius, finansuojamus iš nepriklausomų fondų (EŽŪGF ir EŽŪFKP).</w:t>
      </w:r>
    </w:p>
    <w:p w14:paraId="7628BFA9" w14:textId="44E89E87" w:rsidR="00CE519E" w:rsidRPr="00CE519E" w:rsidRDefault="00CE519E" w:rsidP="00CE519E">
      <w:pPr>
        <w:jc w:val="both"/>
        <w:rPr>
          <w:rFonts w:ascii="Arial" w:hAnsi="Arial" w:cs="Arial"/>
          <w:lang w:val="lt-LT"/>
        </w:rPr>
      </w:pPr>
      <w:r w:rsidRPr="00CE519E">
        <w:rPr>
          <w:rFonts w:ascii="Arial" w:hAnsi="Arial" w:cs="Arial"/>
          <w:b/>
          <w:bCs/>
          <w:lang w:val="lt-LT"/>
        </w:rPr>
        <w:t>2.</w:t>
      </w:r>
      <w:r w:rsidRPr="00CE519E">
        <w:rPr>
          <w:rFonts w:ascii="Arial" w:hAnsi="Arial" w:cs="Arial"/>
          <w:lang w:val="lt-LT"/>
        </w:rPr>
        <w:t xml:space="preserve"> Kartu siūlomuose reglamentuose numatyti ir kiti iki šiol taikytų paramos priemonių pakeitimai, įskaitant </w:t>
      </w:r>
      <w:r w:rsidRPr="00CE519E">
        <w:rPr>
          <w:rFonts w:ascii="Arial" w:hAnsi="Arial" w:cs="Arial"/>
          <w:b/>
          <w:bCs/>
          <w:lang w:val="lt-LT"/>
        </w:rPr>
        <w:t>bendruomenės inicijuotos vietos plėtros (</w:t>
      </w:r>
      <w:r>
        <w:rPr>
          <w:rFonts w:ascii="Arial" w:hAnsi="Arial" w:cs="Arial"/>
          <w:b/>
          <w:bCs/>
          <w:lang w:val="lt-LT"/>
        </w:rPr>
        <w:t>BIVP</w:t>
      </w:r>
      <w:r w:rsidRPr="00CE519E">
        <w:rPr>
          <w:rFonts w:ascii="Arial" w:hAnsi="Arial" w:cs="Arial"/>
          <w:b/>
          <w:bCs/>
          <w:lang w:val="lt-LT"/>
        </w:rPr>
        <w:t>)</w:t>
      </w:r>
      <w:r w:rsidRPr="00CE519E">
        <w:rPr>
          <w:rFonts w:ascii="Arial" w:hAnsi="Arial" w:cs="Arial"/>
          <w:lang w:val="lt-LT"/>
        </w:rPr>
        <w:t xml:space="preserve"> priemonę. Buvo iš naujo apibrėžtas vietos veiklos grupių (VVG) vaidmuo, atsisakyta garantijos skirti nustatytą BŽŪP finansavimo dalį </w:t>
      </w:r>
      <w:r>
        <w:rPr>
          <w:rFonts w:ascii="Arial" w:hAnsi="Arial" w:cs="Arial"/>
          <w:lang w:val="lt-LT"/>
        </w:rPr>
        <w:t>BIVP</w:t>
      </w:r>
      <w:r w:rsidRPr="00CE519E">
        <w:rPr>
          <w:rFonts w:ascii="Arial" w:hAnsi="Arial" w:cs="Arial"/>
          <w:lang w:val="lt-LT"/>
        </w:rPr>
        <w:t xml:space="preserve"> priemonei (vadinamojo </w:t>
      </w:r>
      <w:proofErr w:type="spellStart"/>
      <w:r w:rsidRPr="00CE519E">
        <w:rPr>
          <w:rFonts w:ascii="Arial" w:hAnsi="Arial" w:cs="Arial"/>
          <w:b/>
          <w:bCs/>
          <w:lang w:val="lt-LT"/>
        </w:rPr>
        <w:t>ring-fencing</w:t>
      </w:r>
      <w:proofErr w:type="spellEnd"/>
      <w:r w:rsidRPr="00CE519E">
        <w:rPr>
          <w:rFonts w:ascii="Arial" w:hAnsi="Arial" w:cs="Arial"/>
          <w:lang w:val="lt-LT"/>
        </w:rPr>
        <w:t xml:space="preserve"> principo), o galimų paramos gavėjų pagal šią priemonę BŽŪP sistemoje sąrašas buvo iš esmės ir, regis, nepakankamai apsvarsčius susiaurintas – tinkamais paramai gavėjais pripažįstant tik aktyvius ūkininkus.</w:t>
      </w:r>
    </w:p>
    <w:p w14:paraId="144DA1EB" w14:textId="189D3FF7" w:rsidR="00CE519E" w:rsidRPr="00CE519E" w:rsidRDefault="00CE519E" w:rsidP="00CE519E">
      <w:pPr>
        <w:jc w:val="both"/>
        <w:rPr>
          <w:rFonts w:ascii="Arial" w:hAnsi="Arial" w:cs="Arial"/>
          <w:lang w:val="lt-LT"/>
        </w:rPr>
      </w:pPr>
      <w:r w:rsidRPr="00CE519E">
        <w:rPr>
          <w:rFonts w:ascii="Arial" w:hAnsi="Arial" w:cs="Arial"/>
          <w:lang w:val="lt-LT"/>
        </w:rPr>
        <w:t xml:space="preserve">Pirmoji Komisijos pateikta nuostatų redakcija pasižymėjo tam tikru nenuoseklumu. Visų pirma nebuvo galima aiškiai nustatyti tokių sąvokų kaip </w:t>
      </w:r>
      <w:r w:rsidRPr="00CE519E">
        <w:rPr>
          <w:rFonts w:ascii="Arial" w:hAnsi="Arial" w:cs="Arial"/>
          <w:b/>
          <w:bCs/>
          <w:lang w:val="lt-LT"/>
        </w:rPr>
        <w:t>LEADER</w:t>
      </w:r>
      <w:r w:rsidRPr="00CE519E">
        <w:rPr>
          <w:rFonts w:ascii="Arial" w:hAnsi="Arial" w:cs="Arial"/>
          <w:lang w:val="lt-LT"/>
        </w:rPr>
        <w:t xml:space="preserve"> (BŽŪP sistemoje) ir </w:t>
      </w:r>
      <w:r>
        <w:rPr>
          <w:rFonts w:ascii="Arial" w:hAnsi="Arial" w:cs="Arial"/>
          <w:b/>
          <w:bCs/>
          <w:lang w:val="lt-LT"/>
        </w:rPr>
        <w:t>BIVP</w:t>
      </w:r>
      <w:r w:rsidRPr="00CE519E">
        <w:rPr>
          <w:rFonts w:ascii="Arial" w:hAnsi="Arial" w:cs="Arial"/>
          <w:lang w:val="lt-LT"/>
        </w:rPr>
        <w:t>, kurių tarpusavio ryšys iki tol buvo aiškus. Be to, nepaisant deklaruojamų supaprastinimo ir suderinimo tikslų, reglamentų projektuose buvo numatyta, kad tam tikri sprendimai būtų taikomi tik BŽŪP srityje. Dėl to VVG, įgyvendinančios strategijas, kurios nėra skirtos vien tik „žemės ūkio“ tematikai, būtų priverstos taikyti du skirtingus veiklų finansavimo modelius.</w:t>
      </w:r>
    </w:p>
    <w:p w14:paraId="01498107" w14:textId="77777777" w:rsidR="00CE519E" w:rsidRPr="00CE519E" w:rsidRDefault="00CE519E" w:rsidP="00CE519E">
      <w:pPr>
        <w:jc w:val="both"/>
        <w:rPr>
          <w:rFonts w:ascii="Arial" w:hAnsi="Arial" w:cs="Arial"/>
          <w:lang w:val="lt-LT"/>
        </w:rPr>
      </w:pPr>
      <w:r w:rsidRPr="00CE519E">
        <w:rPr>
          <w:rFonts w:ascii="Arial" w:hAnsi="Arial" w:cs="Arial"/>
          <w:b/>
          <w:bCs/>
          <w:lang w:val="lt-LT"/>
        </w:rPr>
        <w:t>3.</w:t>
      </w:r>
      <w:r w:rsidRPr="00CE519E">
        <w:rPr>
          <w:rFonts w:ascii="Arial" w:hAnsi="Arial" w:cs="Arial"/>
          <w:lang w:val="lt-LT"/>
        </w:rPr>
        <w:t xml:space="preserve"> Pirminiai reglamentų projektai sukėlė didelį VVG susirūpinimą, kurio priešakyje buvo </w:t>
      </w:r>
      <w:r w:rsidRPr="00CE519E">
        <w:rPr>
          <w:rFonts w:ascii="Arial" w:hAnsi="Arial" w:cs="Arial"/>
          <w:b/>
          <w:bCs/>
          <w:lang w:val="lt-LT"/>
        </w:rPr>
        <w:t>Europos LEADER asociacija kaimo plėtrai (ELARD)</w:t>
      </w:r>
      <w:r w:rsidRPr="00CE519E">
        <w:rPr>
          <w:rFonts w:ascii="Arial" w:hAnsi="Arial" w:cs="Arial"/>
          <w:lang w:val="lt-LT"/>
        </w:rPr>
        <w:t xml:space="preserve">. Buvo teigiama, kad naujoji sistema kelia „miestų dominavimo“ riziką ir gali lemti kaimo vietovių specifinių poreikių bei ypatumų </w:t>
      </w:r>
      <w:proofErr w:type="spellStart"/>
      <w:r w:rsidRPr="00CE519E">
        <w:rPr>
          <w:rFonts w:ascii="Arial" w:hAnsi="Arial" w:cs="Arial"/>
          <w:lang w:val="lt-LT"/>
        </w:rPr>
        <w:t>marginalizavimą</w:t>
      </w:r>
      <w:proofErr w:type="spellEnd"/>
      <w:r w:rsidRPr="00CE519E">
        <w:rPr>
          <w:rFonts w:ascii="Arial" w:hAnsi="Arial" w:cs="Arial"/>
          <w:lang w:val="lt-LT"/>
        </w:rPr>
        <w:t>, pirmenybę teikiant centralizuotai planuojamoms didelės apimties infrastruktūros investicijoms. Taip pat pažymėta, kad pasiūlymais atsisakoma ankstesniais programavimo laikotarpiais pasiteisinusių sprendimų, nepasiūlant jiems tinkamų alternatyvų.</w:t>
      </w:r>
    </w:p>
    <w:p w14:paraId="7BE7960C" w14:textId="77777777" w:rsidR="00CE519E" w:rsidRPr="00CE519E" w:rsidRDefault="00CE519E" w:rsidP="00CE519E">
      <w:pPr>
        <w:jc w:val="both"/>
        <w:rPr>
          <w:rFonts w:ascii="Arial" w:hAnsi="Arial" w:cs="Arial"/>
          <w:lang w:val="lt-LT"/>
        </w:rPr>
      </w:pPr>
      <w:r w:rsidRPr="00CE519E">
        <w:rPr>
          <w:rFonts w:ascii="Arial" w:hAnsi="Arial" w:cs="Arial"/>
          <w:b/>
          <w:bCs/>
          <w:lang w:val="lt-LT"/>
        </w:rPr>
        <w:lastRenderedPageBreak/>
        <w:t>4.</w:t>
      </w:r>
      <w:r w:rsidRPr="00CE519E">
        <w:rPr>
          <w:rFonts w:ascii="Arial" w:hAnsi="Arial" w:cs="Arial"/>
          <w:lang w:val="lt-LT"/>
        </w:rPr>
        <w:t xml:space="preserve"> Per kelis mėnesius po to, kai Europos Komisija paskelbė reglamentų projektus, įvairios suinteresuotosios šalys pateikė pastabas ir parengė alternatyvius pasiūlymus. Pastarosiomis savaitėmis, vykstant teisėkūros procesui, Europos Parlamentas pasiūlė nemažai Komisijos projektų pakeitimų. Kai kurie iš jų yra atsakas į ELARD išsakytus nuogąstavimus ir siekia užtikrinti VVG finansinį bei teisinį savarankiškumą bei sustiprinti principą „iš apačios į viršų“.</w:t>
      </w:r>
    </w:p>
    <w:p w14:paraId="7E744683" w14:textId="6312A5D3" w:rsidR="00CE519E" w:rsidRPr="00CE519E" w:rsidRDefault="00CE519E" w:rsidP="00CE519E">
      <w:pPr>
        <w:jc w:val="both"/>
        <w:rPr>
          <w:rFonts w:ascii="Arial" w:hAnsi="Arial" w:cs="Arial"/>
          <w:lang w:val="lt-LT"/>
        </w:rPr>
      </w:pPr>
    </w:p>
    <w:p w14:paraId="4DC21A95"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II. ANALIZĖS DALYKAS</w:t>
      </w:r>
    </w:p>
    <w:p w14:paraId="2A829DDF" w14:textId="77777777" w:rsidR="00CE519E" w:rsidRPr="00CE519E" w:rsidRDefault="00CE519E" w:rsidP="00CE519E">
      <w:pPr>
        <w:jc w:val="both"/>
        <w:rPr>
          <w:rFonts w:ascii="Arial" w:hAnsi="Arial" w:cs="Arial"/>
          <w:lang w:val="lt-LT"/>
        </w:rPr>
      </w:pPr>
      <w:r w:rsidRPr="00CE519E">
        <w:rPr>
          <w:rFonts w:ascii="Arial" w:hAnsi="Arial" w:cs="Arial"/>
          <w:b/>
          <w:bCs/>
          <w:lang w:val="lt-LT"/>
        </w:rPr>
        <w:t>5.</w:t>
      </w:r>
      <w:r w:rsidRPr="00CE519E">
        <w:rPr>
          <w:rFonts w:ascii="Arial" w:hAnsi="Arial" w:cs="Arial"/>
          <w:lang w:val="lt-LT"/>
        </w:rPr>
        <w:t xml:space="preserve"> Šios išvados objektas – Europos Parlamento 2026 m. gegužės mėn. pasiūlytų pakeitimų analizė, pateikta šiuose dokumentuose:</w:t>
      </w:r>
    </w:p>
    <w:p w14:paraId="6FEF4262" w14:textId="77777777" w:rsidR="00CE519E" w:rsidRPr="00CE519E" w:rsidRDefault="00CE519E" w:rsidP="00CE519E">
      <w:pPr>
        <w:numPr>
          <w:ilvl w:val="0"/>
          <w:numId w:val="1"/>
        </w:numPr>
        <w:jc w:val="both"/>
        <w:rPr>
          <w:rFonts w:ascii="Arial" w:hAnsi="Arial" w:cs="Arial"/>
          <w:lang w:val="lt-LT"/>
        </w:rPr>
      </w:pPr>
      <w:r w:rsidRPr="00CE519E">
        <w:rPr>
          <w:rFonts w:ascii="Arial" w:hAnsi="Arial" w:cs="Arial"/>
          <w:b/>
          <w:bCs/>
          <w:lang w:val="lt-LT"/>
        </w:rPr>
        <w:t>REGULIAVIMO PROJEKTO ATASKAITA</w:t>
      </w:r>
      <w:r w:rsidRPr="00CE519E">
        <w:rPr>
          <w:rFonts w:ascii="Arial" w:hAnsi="Arial" w:cs="Arial"/>
          <w:lang w:val="lt-LT"/>
        </w:rPr>
        <w:t xml:space="preserve"> dėl Europos Parlamento ir Tarybos reglamento, kuriuo 2028–2034 m. laikotarpiui įsteigiamas Europos ekonominės, socialinės ir teritorinės sanglaudos, žemės ūkio ir kaimo vietovių, žuvininkystės ir jūrų ekonomikos, klestėjimo ir saugumo fondas bei iš dalies keičiami Reglamentas (ES) 2023/955 ir Reglamentas (ES, Euratomas) 2024/2509 (COM(2025)0565 – C10-0179/2025 – 2025/0240(COD));</w:t>
      </w:r>
    </w:p>
    <w:p w14:paraId="48D2A9A7" w14:textId="77777777" w:rsidR="00CE519E" w:rsidRPr="00CE519E" w:rsidRDefault="00CE519E" w:rsidP="00CE519E">
      <w:pPr>
        <w:numPr>
          <w:ilvl w:val="0"/>
          <w:numId w:val="1"/>
        </w:numPr>
        <w:jc w:val="both"/>
        <w:rPr>
          <w:rFonts w:ascii="Arial" w:hAnsi="Arial" w:cs="Arial"/>
          <w:lang w:val="lt-LT"/>
        </w:rPr>
      </w:pPr>
      <w:r w:rsidRPr="00CE519E">
        <w:rPr>
          <w:rFonts w:ascii="Arial" w:hAnsi="Arial" w:cs="Arial"/>
          <w:b/>
          <w:bCs/>
          <w:lang w:val="lt-LT"/>
        </w:rPr>
        <w:t>REGULIAVIMO PROJEKTO ATASKAITA</w:t>
      </w:r>
      <w:r w:rsidRPr="00CE519E">
        <w:rPr>
          <w:rFonts w:ascii="Arial" w:hAnsi="Arial" w:cs="Arial"/>
          <w:lang w:val="lt-LT"/>
        </w:rPr>
        <w:t xml:space="preserve"> dėl Europos Parlamento ir Tarybos reglamento, kuriuo nustatomos Sąjungos paramos Bendrajai žemės ūkio politikai įgyvendinimo 2028–2034 m. laikotarpiu sąlygos (COM(2025)0560 – C10-0169/2025 – 2025/0241(COD));</w:t>
      </w:r>
    </w:p>
    <w:p w14:paraId="54C355D7" w14:textId="77777777" w:rsidR="00CE519E" w:rsidRPr="00CE519E" w:rsidRDefault="00CE519E" w:rsidP="00CE519E">
      <w:pPr>
        <w:jc w:val="both"/>
        <w:rPr>
          <w:rFonts w:ascii="Arial" w:hAnsi="Arial" w:cs="Arial"/>
          <w:lang w:val="lt-LT"/>
        </w:rPr>
      </w:pPr>
      <w:r w:rsidRPr="00CE519E">
        <w:rPr>
          <w:rFonts w:ascii="Arial" w:hAnsi="Arial" w:cs="Arial"/>
          <w:lang w:val="lt-LT"/>
        </w:rPr>
        <w:t>atsižvelgiant į praėjusiais metais Europos Komisijos pateiktus teisėkūros pasiūlymus:</w:t>
      </w:r>
    </w:p>
    <w:p w14:paraId="64C101B4" w14:textId="77777777" w:rsidR="00CE519E" w:rsidRPr="00CE519E" w:rsidRDefault="00CE519E" w:rsidP="00CE519E">
      <w:pPr>
        <w:numPr>
          <w:ilvl w:val="0"/>
          <w:numId w:val="2"/>
        </w:numPr>
        <w:jc w:val="both"/>
        <w:rPr>
          <w:rFonts w:ascii="Arial" w:hAnsi="Arial" w:cs="Arial"/>
          <w:lang w:val="lt-LT"/>
        </w:rPr>
      </w:pPr>
      <w:r w:rsidRPr="00CE519E">
        <w:rPr>
          <w:rFonts w:ascii="Arial" w:hAnsi="Arial" w:cs="Arial"/>
          <w:b/>
          <w:bCs/>
          <w:lang w:val="lt-LT"/>
        </w:rPr>
        <w:t>Europos Parlamento ir Tarybos reglamento pasiūlymą</w:t>
      </w:r>
      <w:r w:rsidRPr="00CE519E">
        <w:rPr>
          <w:rFonts w:ascii="Arial" w:hAnsi="Arial" w:cs="Arial"/>
          <w:lang w:val="lt-LT"/>
        </w:rPr>
        <w:t xml:space="preserve">, kuriuo 2028–2034 m. laikotarpiui įsteigiamas Europos ekonominės, socialinės ir teritorinės sanglaudos, žemės ūkio ir kaimo vietovių, žuvininkystės ir jūrų ekonomikos, klestėjimo ir saugumo fondas bei iš dalies keičiami Reglamentas (ES) 2023/955 ir Reglamentas (ES, Euratomas) 2024/2509 (toliau – </w:t>
      </w:r>
      <w:r w:rsidRPr="00CE519E">
        <w:rPr>
          <w:rFonts w:ascii="Arial" w:hAnsi="Arial" w:cs="Arial"/>
          <w:b/>
          <w:bCs/>
          <w:lang w:val="lt-LT"/>
        </w:rPr>
        <w:t>Fondą nustatantis reglamentas</w:t>
      </w:r>
      <w:r w:rsidRPr="00CE519E">
        <w:rPr>
          <w:rFonts w:ascii="Arial" w:hAnsi="Arial" w:cs="Arial"/>
          <w:lang w:val="lt-LT"/>
        </w:rPr>
        <w:t>);</w:t>
      </w:r>
    </w:p>
    <w:p w14:paraId="5B6B461B" w14:textId="77777777" w:rsidR="00CE519E" w:rsidRPr="00CE519E" w:rsidRDefault="00CE519E" w:rsidP="00CE519E">
      <w:pPr>
        <w:numPr>
          <w:ilvl w:val="0"/>
          <w:numId w:val="2"/>
        </w:numPr>
        <w:jc w:val="both"/>
        <w:rPr>
          <w:rFonts w:ascii="Arial" w:hAnsi="Arial" w:cs="Arial"/>
          <w:lang w:val="lt-LT"/>
        </w:rPr>
      </w:pPr>
      <w:r w:rsidRPr="00CE519E">
        <w:rPr>
          <w:rFonts w:ascii="Arial" w:hAnsi="Arial" w:cs="Arial"/>
          <w:b/>
          <w:bCs/>
          <w:lang w:val="lt-LT"/>
        </w:rPr>
        <w:t>Europos Parlamento ir Tarybos reglamento pasiūlymą</w:t>
      </w:r>
      <w:r w:rsidRPr="00CE519E">
        <w:rPr>
          <w:rFonts w:ascii="Arial" w:hAnsi="Arial" w:cs="Arial"/>
          <w:lang w:val="lt-LT"/>
        </w:rPr>
        <w:t xml:space="preserve">, kuriuo nustatomos Sąjungos paramos Bendrajai žemės ūkio politikai įgyvendinimo 2028–2034 m. laikotarpiu sąlygos (toliau – </w:t>
      </w:r>
      <w:r w:rsidRPr="00CE519E">
        <w:rPr>
          <w:rFonts w:ascii="Arial" w:hAnsi="Arial" w:cs="Arial"/>
          <w:b/>
          <w:bCs/>
          <w:lang w:val="lt-LT"/>
        </w:rPr>
        <w:t>BŽŪP reglamentas</w:t>
      </w:r>
      <w:r w:rsidRPr="00CE519E">
        <w:rPr>
          <w:rFonts w:ascii="Arial" w:hAnsi="Arial" w:cs="Arial"/>
          <w:lang w:val="lt-LT"/>
        </w:rPr>
        <w:t>).</w:t>
      </w:r>
    </w:p>
    <w:p w14:paraId="3D6D7358" w14:textId="4C1094DA" w:rsidR="00CE519E" w:rsidRPr="00CE519E" w:rsidRDefault="00CE519E" w:rsidP="00CE519E">
      <w:pPr>
        <w:jc w:val="both"/>
        <w:rPr>
          <w:rFonts w:ascii="Arial" w:hAnsi="Arial" w:cs="Arial"/>
          <w:lang w:val="lt-LT"/>
        </w:rPr>
      </w:pPr>
      <w:r w:rsidRPr="00CE519E">
        <w:rPr>
          <w:rFonts w:ascii="Arial" w:hAnsi="Arial" w:cs="Arial"/>
          <w:lang w:val="lt-LT"/>
        </w:rPr>
        <w:t xml:space="preserve">Analizė bus atliekama atsižvelgiant į tas nuostatas, kurios yra svarbios vietos veiklos grupėms (VVG) ir </w:t>
      </w:r>
      <w:r>
        <w:rPr>
          <w:rFonts w:ascii="Arial" w:hAnsi="Arial" w:cs="Arial"/>
          <w:lang w:val="lt-LT"/>
        </w:rPr>
        <w:t>BIVP</w:t>
      </w:r>
      <w:r w:rsidRPr="00CE519E">
        <w:rPr>
          <w:rFonts w:ascii="Arial" w:hAnsi="Arial" w:cs="Arial"/>
          <w:lang w:val="lt-LT"/>
        </w:rPr>
        <w:t xml:space="preserve"> priemonei.</w:t>
      </w:r>
    </w:p>
    <w:p w14:paraId="2AEEC246" w14:textId="77777777" w:rsidR="00CE519E" w:rsidRPr="00CE519E" w:rsidRDefault="00CE519E" w:rsidP="00CE519E">
      <w:pPr>
        <w:jc w:val="both"/>
        <w:rPr>
          <w:rFonts w:ascii="Arial" w:hAnsi="Arial" w:cs="Arial"/>
          <w:lang w:val="lt-LT"/>
        </w:rPr>
      </w:pPr>
      <w:r w:rsidRPr="00CE519E">
        <w:rPr>
          <w:rFonts w:ascii="Arial" w:hAnsi="Arial" w:cs="Arial"/>
          <w:b/>
          <w:bCs/>
          <w:lang w:val="lt-LT"/>
        </w:rPr>
        <w:t>6.</w:t>
      </w:r>
      <w:r w:rsidRPr="00CE519E">
        <w:rPr>
          <w:rFonts w:ascii="Arial" w:hAnsi="Arial" w:cs="Arial"/>
          <w:lang w:val="lt-LT"/>
        </w:rPr>
        <w:t xml:space="preserve"> Siekiant sistemiškai pateikti analizę, ji suskirstyta į šias temines dalis, atsižvelgiant į Europos LEADER asociacijos kaimo plėtrai (ELARD) pasiūlymus dėl praėjusiais metais pateiktų reglamentų projektų:</w:t>
      </w:r>
    </w:p>
    <w:p w14:paraId="249FBFF6" w14:textId="77777777"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t>VVG kompetencijų išplėtimas, kuris Komisijos pirminiuose pasiūlymuose buvo reikšmingai susiaurintas, palyginti su šiuo metu galiojančiu reguliavimu;</w:t>
      </w:r>
    </w:p>
    <w:p w14:paraId="1F94139D" w14:textId="77777777"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lastRenderedPageBreak/>
        <w:t>BŽŪP paramos gavėjo apibrėžties pakeitimas, atsižvelgiant į riziką, kad iš LEADER priemonės paramos gavėjų rato gali būti pašalintas platus subjektų spektras;</w:t>
      </w:r>
    </w:p>
    <w:p w14:paraId="0EC1404F" w14:textId="209D58EC"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t xml:space="preserve">Pagal LEADER ir </w:t>
      </w:r>
      <w:r>
        <w:rPr>
          <w:rFonts w:ascii="Arial" w:hAnsi="Arial" w:cs="Arial"/>
          <w:lang w:val="lt-LT"/>
        </w:rPr>
        <w:t>BIVP</w:t>
      </w:r>
      <w:r w:rsidRPr="00CE519E">
        <w:rPr>
          <w:rFonts w:ascii="Arial" w:hAnsi="Arial" w:cs="Arial"/>
          <w:lang w:val="lt-LT"/>
        </w:rPr>
        <w:t xml:space="preserve"> teikiamos paramos apimties išplėtimas, kad priemone galėtų naudotis įvairūs subjektai, veikiantys vietos plėtros strategijos, kurią įgyvendina VVG, teritorijoje;</w:t>
      </w:r>
    </w:p>
    <w:p w14:paraId="26CCDB1C" w14:textId="77777777" w:rsidR="00CE519E" w:rsidRPr="00CE519E" w:rsidRDefault="00CE519E" w:rsidP="00CE519E">
      <w:pPr>
        <w:numPr>
          <w:ilvl w:val="0"/>
          <w:numId w:val="3"/>
        </w:numPr>
        <w:jc w:val="both"/>
        <w:rPr>
          <w:rFonts w:ascii="Arial" w:hAnsi="Arial" w:cs="Arial"/>
          <w:lang w:val="lt-LT"/>
        </w:rPr>
      </w:pPr>
      <w:proofErr w:type="spellStart"/>
      <w:r w:rsidRPr="00CE519E">
        <w:rPr>
          <w:rFonts w:ascii="Arial" w:hAnsi="Arial" w:cs="Arial"/>
          <w:b/>
          <w:bCs/>
          <w:lang w:val="lt-LT"/>
        </w:rPr>
        <w:t>Ring-fencing</w:t>
      </w:r>
      <w:proofErr w:type="spellEnd"/>
      <w:r w:rsidRPr="00CE519E">
        <w:rPr>
          <w:rFonts w:ascii="Arial" w:hAnsi="Arial" w:cs="Arial"/>
          <w:lang w:val="lt-LT"/>
        </w:rPr>
        <w:t xml:space="preserve"> principas – nustatytos BŽŪP finansavimo dalies užtikrinimas LEADER priemonei;</w:t>
      </w:r>
    </w:p>
    <w:p w14:paraId="1BFE94CB" w14:textId="108F74DF"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t xml:space="preserve">Neaiškumų dėl </w:t>
      </w:r>
      <w:r>
        <w:rPr>
          <w:rFonts w:ascii="Arial" w:hAnsi="Arial" w:cs="Arial"/>
          <w:lang w:val="lt-LT"/>
        </w:rPr>
        <w:t>BIVP</w:t>
      </w:r>
      <w:r w:rsidRPr="00CE519E">
        <w:rPr>
          <w:rFonts w:ascii="Arial" w:hAnsi="Arial" w:cs="Arial"/>
          <w:lang w:val="lt-LT"/>
        </w:rPr>
        <w:t xml:space="preserve"> ir LEADER priemonių tarpusavio santykio pašalinimas;</w:t>
      </w:r>
    </w:p>
    <w:p w14:paraId="109EFE80" w14:textId="77777777"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t>Vienodų sprendimų, supaprastinančių LEADER veiklų finansavimą, įdiegimas, kad jie būtų taikomi ir toms VVG, kurios vietos plėtros strategijas įgyvendina ne tik pagal BŽŪP;</w:t>
      </w:r>
    </w:p>
    <w:p w14:paraId="3E96244E" w14:textId="4A49B3AF" w:rsidR="00CE519E" w:rsidRPr="00CE519E" w:rsidRDefault="00CE519E" w:rsidP="00CE519E">
      <w:pPr>
        <w:numPr>
          <w:ilvl w:val="0"/>
          <w:numId w:val="3"/>
        </w:numPr>
        <w:jc w:val="both"/>
        <w:rPr>
          <w:rFonts w:ascii="Arial" w:hAnsi="Arial" w:cs="Arial"/>
          <w:lang w:val="lt-LT"/>
        </w:rPr>
      </w:pPr>
      <w:r w:rsidRPr="00CE519E">
        <w:rPr>
          <w:rFonts w:ascii="Arial" w:hAnsi="Arial" w:cs="Arial"/>
          <w:lang w:val="lt-LT"/>
        </w:rPr>
        <w:t xml:space="preserve">Kiti klausimai, svarbūs </w:t>
      </w:r>
      <w:r>
        <w:rPr>
          <w:rFonts w:ascii="Arial" w:hAnsi="Arial" w:cs="Arial"/>
          <w:lang w:val="lt-LT"/>
        </w:rPr>
        <w:t>BIVP</w:t>
      </w:r>
      <w:r w:rsidRPr="00CE519E">
        <w:rPr>
          <w:rFonts w:ascii="Arial" w:hAnsi="Arial" w:cs="Arial"/>
          <w:lang w:val="lt-LT"/>
        </w:rPr>
        <w:t>/LEADER priemonės įgyvendinimo požiūriu.</w:t>
      </w:r>
    </w:p>
    <w:p w14:paraId="20FB99D5" w14:textId="1CF3F0C5" w:rsidR="00CE519E" w:rsidRPr="00CE519E" w:rsidRDefault="00CE519E" w:rsidP="00CE519E">
      <w:pPr>
        <w:jc w:val="both"/>
        <w:rPr>
          <w:rFonts w:ascii="Arial" w:hAnsi="Arial" w:cs="Arial"/>
          <w:lang w:val="lt-LT"/>
        </w:rPr>
      </w:pPr>
    </w:p>
    <w:p w14:paraId="6F493D85"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II.1. VVG kompetencijų išplėtimas</w:t>
      </w:r>
    </w:p>
    <w:p w14:paraId="67C9F98C" w14:textId="0E6D2E76" w:rsidR="00CE519E" w:rsidRPr="00CE519E" w:rsidRDefault="00CE519E" w:rsidP="00CE519E">
      <w:pPr>
        <w:jc w:val="both"/>
        <w:rPr>
          <w:rFonts w:ascii="Arial" w:hAnsi="Arial" w:cs="Arial"/>
          <w:lang w:val="lt-LT"/>
        </w:rPr>
      </w:pPr>
      <w:r w:rsidRPr="00CE519E">
        <w:rPr>
          <w:rFonts w:ascii="Arial" w:hAnsi="Arial" w:cs="Arial"/>
          <w:b/>
          <w:bCs/>
          <w:lang w:val="lt-LT"/>
        </w:rPr>
        <w:t>7.</w:t>
      </w:r>
      <w:r w:rsidRPr="00CE519E">
        <w:rPr>
          <w:rFonts w:ascii="Arial" w:hAnsi="Arial" w:cs="Arial"/>
          <w:lang w:val="lt-LT"/>
        </w:rPr>
        <w:t xml:space="preserve"> Pirminiame Europos Komisijos pateiktame pasiūlymų pakete buvo nemažai nuostatų, tiesiogiai reglamentuojančių </w:t>
      </w:r>
      <w:r>
        <w:rPr>
          <w:rFonts w:ascii="Arial" w:hAnsi="Arial" w:cs="Arial"/>
          <w:lang w:val="lt-LT"/>
        </w:rPr>
        <w:t>BIVP</w:t>
      </w:r>
      <w:r w:rsidRPr="00CE519E">
        <w:rPr>
          <w:rFonts w:ascii="Arial" w:hAnsi="Arial" w:cs="Arial"/>
          <w:lang w:val="lt-LT"/>
        </w:rPr>
        <w:t xml:space="preserve"> ir LEADER iniciatyvos veikimą. Šių nuostatų analizė parodė siekį standartizuoti procesus, kartu nustatant papildomą administracinę naštą VVG (žr., pavyzdžiui, Fondą nustatančio reglamento siūlomo 63 straipsnio 1 dalies f punkto i papunktyje numatytas ataskaitų teikimo pareigas, kurios aptariamos toliau).</w:t>
      </w:r>
    </w:p>
    <w:p w14:paraId="4A774ECB" w14:textId="379582B2" w:rsidR="00CE519E" w:rsidRPr="00CE519E" w:rsidRDefault="00CE519E" w:rsidP="00CE519E">
      <w:pPr>
        <w:jc w:val="both"/>
        <w:rPr>
          <w:rFonts w:ascii="Arial" w:hAnsi="Arial" w:cs="Arial"/>
          <w:lang w:val="lt-LT"/>
        </w:rPr>
      </w:pPr>
      <w:r w:rsidRPr="00CE519E">
        <w:rPr>
          <w:rFonts w:ascii="Arial" w:hAnsi="Arial" w:cs="Arial"/>
          <w:b/>
          <w:bCs/>
          <w:lang w:val="lt-LT"/>
        </w:rPr>
        <w:t>8.</w:t>
      </w:r>
      <w:r w:rsidRPr="00CE519E">
        <w:rPr>
          <w:rFonts w:ascii="Arial" w:hAnsi="Arial" w:cs="Arial"/>
          <w:lang w:val="lt-LT"/>
        </w:rPr>
        <w:t xml:space="preserve"> Siūlomame </w:t>
      </w:r>
      <w:r w:rsidRPr="00CE519E">
        <w:rPr>
          <w:rFonts w:ascii="Arial" w:hAnsi="Arial" w:cs="Arial"/>
          <w:b/>
          <w:bCs/>
          <w:lang w:val="lt-LT"/>
        </w:rPr>
        <w:t>Bendrą fondą nustatančiame reglamente</w:t>
      </w:r>
      <w:r w:rsidRPr="00CE519E">
        <w:rPr>
          <w:rFonts w:ascii="Arial" w:hAnsi="Arial" w:cs="Arial"/>
          <w:lang w:val="lt-LT"/>
        </w:rPr>
        <w:t xml:space="preserve"> (COM(2025) 565) integruota teritorinė plėtra reglamentuojama IX antraštinėje dalyje. Jos 75 straipsnyje nustatoma integruotos teritorinės ir miestų plėtros sistema, o 76 straipsnis visiškai skirtas </w:t>
      </w:r>
      <w:r>
        <w:rPr>
          <w:rFonts w:ascii="Arial" w:hAnsi="Arial" w:cs="Arial"/>
          <w:lang w:val="lt-LT"/>
        </w:rPr>
        <w:t>BIVP</w:t>
      </w:r>
      <w:r w:rsidRPr="00CE519E">
        <w:rPr>
          <w:rFonts w:ascii="Arial" w:hAnsi="Arial" w:cs="Arial"/>
          <w:lang w:val="lt-LT"/>
        </w:rPr>
        <w:t>.</w:t>
      </w:r>
    </w:p>
    <w:p w14:paraId="5E16A0E7" w14:textId="56E88720" w:rsidR="00CE519E" w:rsidRPr="00CE519E" w:rsidRDefault="00CE519E" w:rsidP="00CE519E">
      <w:pPr>
        <w:jc w:val="both"/>
        <w:rPr>
          <w:rFonts w:ascii="Arial" w:hAnsi="Arial" w:cs="Arial"/>
          <w:lang w:val="lt-LT"/>
        </w:rPr>
      </w:pPr>
      <w:r w:rsidRPr="00CE519E">
        <w:rPr>
          <w:rFonts w:ascii="Arial" w:hAnsi="Arial" w:cs="Arial"/>
          <w:lang w:val="lt-LT"/>
        </w:rPr>
        <w:t xml:space="preserve">Pagal pirminį Komisijos pasiūlymą </w:t>
      </w:r>
      <w:r>
        <w:rPr>
          <w:rFonts w:ascii="Arial" w:hAnsi="Arial" w:cs="Arial"/>
          <w:lang w:val="lt-LT"/>
        </w:rPr>
        <w:t>BIVP</w:t>
      </w:r>
      <w:r w:rsidRPr="00CE519E">
        <w:rPr>
          <w:rFonts w:ascii="Arial" w:hAnsi="Arial" w:cs="Arial"/>
          <w:lang w:val="lt-LT"/>
        </w:rPr>
        <w:t xml:space="preserve"> turėjo būti orientuota į </w:t>
      </w:r>
      <w:proofErr w:type="spellStart"/>
      <w:r w:rsidRPr="00CE519E">
        <w:rPr>
          <w:rFonts w:ascii="Arial" w:hAnsi="Arial" w:cs="Arial"/>
          <w:lang w:val="lt-LT"/>
        </w:rPr>
        <w:t>subregionines</w:t>
      </w:r>
      <w:proofErr w:type="spellEnd"/>
      <w:r w:rsidRPr="00CE519E">
        <w:rPr>
          <w:rFonts w:ascii="Arial" w:hAnsi="Arial" w:cs="Arial"/>
          <w:lang w:val="lt-LT"/>
        </w:rPr>
        <w:t xml:space="preserve"> teritorijas, ypač kaimo ir pakrančių vietoves, ir ją turėjo rengti bei įgyvendinti VVG, sudarytos iš vietos viešųjų ir privačių interesų atstovų.</w:t>
      </w:r>
    </w:p>
    <w:p w14:paraId="2527B1FC" w14:textId="5D706C56" w:rsidR="00CE519E" w:rsidRPr="00CE519E" w:rsidRDefault="00CE519E" w:rsidP="00CE519E">
      <w:pPr>
        <w:jc w:val="both"/>
        <w:rPr>
          <w:rFonts w:ascii="Arial" w:hAnsi="Arial" w:cs="Arial"/>
          <w:lang w:val="lt-LT"/>
        </w:rPr>
      </w:pPr>
      <w:r w:rsidRPr="00CE519E">
        <w:rPr>
          <w:rFonts w:ascii="Arial" w:hAnsi="Arial" w:cs="Arial"/>
          <w:lang w:val="lt-LT"/>
        </w:rPr>
        <w:t>Kaip ir dabartiniu programavimo laikotarpiu, nuostatoje aiškiai nurodyta, kad nė viena interesų grupė negali dominuoti VVG sprendimų priėmimo procese.</w:t>
      </w:r>
      <w:r w:rsidRPr="00CE519E">
        <w:rPr>
          <w:rFonts w:ascii="Arial" w:hAnsi="Arial" w:cs="Arial"/>
          <w:lang w:val="lt-LT"/>
        </w:rPr>
        <w:t xml:space="preserve"> </w:t>
      </w:r>
    </w:p>
    <w:p w14:paraId="5E6C775F" w14:textId="309E92C4"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9. Fondą nustatančio reglamento projekto 76 straipsnio 2 ir 3 dalyse Komisija numatė, kad Fondo parama </w:t>
      </w:r>
      <w:r>
        <w:rPr>
          <w:rFonts w:ascii="Arial" w:hAnsi="Arial" w:cs="Arial"/>
          <w:b/>
          <w:bCs/>
          <w:lang w:val="lt-LT"/>
        </w:rPr>
        <w:t>BIVP</w:t>
      </w:r>
      <w:r w:rsidRPr="00CE519E">
        <w:rPr>
          <w:rFonts w:ascii="Arial" w:hAnsi="Arial" w:cs="Arial"/>
          <w:b/>
          <w:bCs/>
          <w:lang w:val="lt-LT"/>
        </w:rPr>
        <w:t xml:space="preserve"> apimtų gebėjimų stiprinimą, parengiamąsias veiklas, veiklų pagal vietos plėtros strategijas (VPS) rengimą ir įgyvendinimą, taip pat valdymo, stebėsenos, vertinimo ir bendruomenės aktyvinimo išlaidas.</w:t>
      </w:r>
    </w:p>
    <w:p w14:paraId="022C7060" w14:textId="77777777" w:rsidR="00CE519E" w:rsidRPr="00CE519E" w:rsidRDefault="00CE519E" w:rsidP="00CE519E">
      <w:pPr>
        <w:jc w:val="both"/>
        <w:rPr>
          <w:rFonts w:ascii="Arial" w:hAnsi="Arial" w:cs="Arial"/>
          <w:lang w:val="lt-LT"/>
        </w:rPr>
      </w:pPr>
      <w:r w:rsidRPr="00CE519E">
        <w:rPr>
          <w:rFonts w:ascii="Arial" w:hAnsi="Arial" w:cs="Arial"/>
          <w:lang w:val="lt-LT"/>
        </w:rPr>
        <w:t>Komisija vietos veiklos grupėms paliko išimtinę atsakomybę už užduotis, susijusias su strategijų rengimu, gebėjimų stiprinimu, veiklų atrankos procedūrų nustatymu, pačia veiklų atranka, stebėsena ir komunikacijos veiklomis.</w:t>
      </w:r>
    </w:p>
    <w:p w14:paraId="7DDFC5D3"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lastRenderedPageBreak/>
        <w:t>10. Tačiau lyginamoji teisinė analizė parodė, kad praėjusių metų reglamentų projektuose Komisija siekė apriboti iki šiol turėtą VVG sprendimų priėmimo savarankiškumą.</w:t>
      </w:r>
    </w:p>
    <w:p w14:paraId="0CB51D47" w14:textId="77777777" w:rsidR="00CE519E" w:rsidRPr="00CE519E" w:rsidRDefault="00CE519E" w:rsidP="00CE519E">
      <w:pPr>
        <w:jc w:val="both"/>
        <w:rPr>
          <w:rFonts w:ascii="Arial" w:hAnsi="Arial" w:cs="Arial"/>
          <w:lang w:val="lt-LT"/>
        </w:rPr>
      </w:pPr>
      <w:r w:rsidRPr="00CE519E">
        <w:rPr>
          <w:rFonts w:ascii="Arial" w:hAnsi="Arial" w:cs="Arial"/>
          <w:lang w:val="lt-LT"/>
        </w:rPr>
        <w:t>Pagal šiuo metu galiojančią 2021–2027 m. finansinę programą, vadovaujantis Reglamento (ES) 2021/1060 33 straipsnio 3 dalimi, išimtinių VVG funkcijų sąrašui, be kita ko, priklauso kvietimų teikti paraiškas rengimas ir skelbimas bei projektų atranka kartu nustatant skiriamos paramos dydį.</w:t>
      </w:r>
    </w:p>
    <w:p w14:paraId="1B30ED4F"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Tuo tarpu pirminiame COM(2025) 565 pasiūlyme (Fondą nustatančio reglamento 76 straipsnio 3 dalis) Komisija visiškai panaikino VVG teisę savarankiškai skelbti kvietimus teikti paraiškas, o projektų atrankos srityje panaikino jų įgaliojimus nustatyti dotacijos dydį, palikdama VVG tik teisę </w:t>
      </w:r>
      <w:r w:rsidRPr="00CE519E">
        <w:rPr>
          <w:rFonts w:ascii="Arial" w:hAnsi="Arial" w:cs="Arial"/>
          <w:b/>
          <w:bCs/>
          <w:lang w:val="lt-LT"/>
        </w:rPr>
        <w:t>atrinkti projektus</w:t>
      </w:r>
      <w:r w:rsidRPr="00CE519E">
        <w:rPr>
          <w:rFonts w:ascii="Arial" w:hAnsi="Arial" w:cs="Arial"/>
          <w:lang w:val="lt-LT"/>
        </w:rPr>
        <w:t>.</w:t>
      </w:r>
    </w:p>
    <w:p w14:paraId="3F0CB23C" w14:textId="77777777" w:rsidR="00CE519E" w:rsidRPr="00CE519E" w:rsidRDefault="00CE519E" w:rsidP="00CE519E">
      <w:pPr>
        <w:jc w:val="both"/>
        <w:rPr>
          <w:rFonts w:ascii="Arial" w:hAnsi="Arial" w:cs="Arial"/>
          <w:lang w:val="lt-LT"/>
        </w:rPr>
      </w:pPr>
      <w:r w:rsidRPr="00CE519E">
        <w:rPr>
          <w:rFonts w:ascii="Arial" w:hAnsi="Arial" w:cs="Arial"/>
          <w:lang w:val="lt-LT"/>
        </w:rPr>
        <w:t>Šis atsakomybių sumažinimas sulaukė ELARD pasipriešinimo, nes faktiškai VVG būtų paverstos techniniu tarpininku, o realūs sprendimai dėl projektų biudžetų būtų perduoti viešojo administravimo institucijoms (mokėjimo agentūroms ir valdymo institucijoms).</w:t>
      </w:r>
    </w:p>
    <w:p w14:paraId="651E8D06"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11. Europos Parlamento pasiūlytų pakeitimų analizė rodo, kad ELARD reikalavimai dėl VVG kompetencijų nebuvo įtraukti.</w:t>
      </w:r>
    </w:p>
    <w:p w14:paraId="6015083A"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Vis dėlto pažymėtina, kad </w:t>
      </w:r>
      <w:r w:rsidRPr="00CE519E">
        <w:rPr>
          <w:rFonts w:ascii="Arial" w:hAnsi="Arial" w:cs="Arial"/>
          <w:b/>
          <w:bCs/>
          <w:lang w:val="lt-LT"/>
        </w:rPr>
        <w:t>Europos Sąjungos Taryba</w:t>
      </w:r>
      <w:r w:rsidRPr="00CE519E">
        <w:rPr>
          <w:rFonts w:ascii="Arial" w:hAnsi="Arial" w:cs="Arial"/>
          <w:lang w:val="lt-LT"/>
        </w:rPr>
        <w:t xml:space="preserve">, savo 2026 m. birželio 16 d. priimtame bendrajame požiūryje (ST-10559-2026-INIT), šiuo klausimu pasiūlė palankesnį sprendimą ir siūlo papildyti 76 straipsnio 3 dalį nauju </w:t>
      </w:r>
      <w:r w:rsidRPr="00CE519E">
        <w:rPr>
          <w:rFonts w:ascii="Arial" w:hAnsi="Arial" w:cs="Arial"/>
          <w:b/>
          <w:bCs/>
          <w:lang w:val="lt-LT"/>
        </w:rPr>
        <w:t>(</w:t>
      </w:r>
      <w:proofErr w:type="spellStart"/>
      <w:r w:rsidRPr="00CE519E">
        <w:rPr>
          <w:rFonts w:ascii="Arial" w:hAnsi="Arial" w:cs="Arial"/>
          <w:b/>
          <w:bCs/>
          <w:lang w:val="lt-LT"/>
        </w:rPr>
        <w:t>ca</w:t>
      </w:r>
      <w:proofErr w:type="spellEnd"/>
      <w:r w:rsidRPr="00CE519E">
        <w:rPr>
          <w:rFonts w:ascii="Arial" w:hAnsi="Arial" w:cs="Arial"/>
          <w:b/>
          <w:bCs/>
          <w:lang w:val="lt-LT"/>
        </w:rPr>
        <w:t>)</w:t>
      </w:r>
      <w:r w:rsidRPr="00CE519E">
        <w:rPr>
          <w:rFonts w:ascii="Arial" w:hAnsi="Arial" w:cs="Arial"/>
          <w:lang w:val="lt-LT"/>
        </w:rPr>
        <w:t xml:space="preserve"> punktu, kuriuo VVG būtų grąžinta išimtinė teisė rengti ir skelbti kvietimus teikti paraiškas.</w:t>
      </w:r>
    </w:p>
    <w:p w14:paraId="21E98C3D" w14:textId="77777777" w:rsidR="00CE519E" w:rsidRPr="00CE519E" w:rsidRDefault="00CE519E" w:rsidP="00CE519E">
      <w:pPr>
        <w:jc w:val="both"/>
        <w:rPr>
          <w:rFonts w:ascii="Arial" w:hAnsi="Arial" w:cs="Arial"/>
          <w:lang w:val="lt-LT"/>
        </w:rPr>
      </w:pPr>
      <w:r w:rsidRPr="00CE519E">
        <w:rPr>
          <w:rFonts w:ascii="Arial" w:hAnsi="Arial" w:cs="Arial"/>
          <w:lang w:val="lt-LT"/>
        </w:rPr>
        <w:t>Tačiau nei Komisijos pasiūlyme, nei Parlamento pataisose, nei dabartinėje Tarybos pozicijoje nenumatyta grąžinti VVG teisės nustatyti paramos dydį – grupėms ir toliau paliekama tik projektų atrankos funkcija.</w:t>
      </w:r>
    </w:p>
    <w:p w14:paraId="17B5BA9B"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12. Taip pat verta pažymėti, kad Fondą nustatančio reglamento nuostatos, reglamentuojančios VVG kompetencijas (ypač 76 straipsnio 3 dalies c ir d punktai), gali būti nesuderinamos su analogiškomis Valdymo institucijos kompetencijomis, kylančiomis iš reglamento projekto 51 straipsnio 1 dalies a punkto.</w:t>
      </w:r>
    </w:p>
    <w:p w14:paraId="31C499DC" w14:textId="77777777" w:rsidR="00CE519E" w:rsidRPr="00CE519E" w:rsidRDefault="00CE519E" w:rsidP="00CE519E">
      <w:pPr>
        <w:jc w:val="both"/>
        <w:rPr>
          <w:rFonts w:ascii="Arial" w:hAnsi="Arial" w:cs="Arial"/>
          <w:lang w:val="lt-LT"/>
        </w:rPr>
      </w:pPr>
      <w:r w:rsidRPr="00CE519E">
        <w:rPr>
          <w:rFonts w:ascii="Arial" w:hAnsi="Arial" w:cs="Arial"/>
          <w:lang w:val="lt-LT"/>
        </w:rPr>
        <w:t>Šias nuostatas vertinant kartu matyti, kad jų taikymo sritys persidengia.</w:t>
      </w:r>
    </w:p>
    <w:p w14:paraId="5E4F66AF" w14:textId="77777777" w:rsidR="00CE519E" w:rsidRPr="00CE519E" w:rsidRDefault="00CE519E" w:rsidP="00CE519E">
      <w:pPr>
        <w:jc w:val="both"/>
        <w:rPr>
          <w:rFonts w:ascii="Arial" w:hAnsi="Arial" w:cs="Arial"/>
          <w:lang w:val="lt-LT"/>
        </w:rPr>
      </w:pPr>
      <w:r w:rsidRPr="00CE519E">
        <w:rPr>
          <w:rFonts w:ascii="Arial" w:hAnsi="Arial" w:cs="Arial"/>
          <w:lang w:val="lt-LT"/>
        </w:rPr>
        <w:t>Todėl tikslinga aiškiai apibrėžti šių nuostatų tarpusavio santykį. Panašių abejonių kyla jau ir dabartiniu programavimo laikotarpiu (bent jau Lenkijoje) dėl VVG kompetencijų apimties.</w:t>
      </w:r>
    </w:p>
    <w:p w14:paraId="272338A5" w14:textId="77777777" w:rsidR="00CE519E" w:rsidRPr="00CE519E" w:rsidRDefault="00CE519E" w:rsidP="00CE519E">
      <w:pPr>
        <w:jc w:val="both"/>
        <w:rPr>
          <w:rFonts w:ascii="Arial" w:hAnsi="Arial" w:cs="Arial"/>
          <w:lang w:val="lt-LT"/>
        </w:rPr>
      </w:pPr>
      <w:r w:rsidRPr="00CE519E">
        <w:rPr>
          <w:rFonts w:ascii="Arial" w:hAnsi="Arial" w:cs="Arial"/>
          <w:lang w:val="lt-LT"/>
        </w:rPr>
        <w:t>Visų pirma kyla klausimas, kiek VVG atlikta projektų atranka ir nustatytas paramos dydis yra galutiniai ir baigtiniai, bei kiek, pavyzdžiui, Valdymo institucija gali „pakoreguoti“ VVG atliktą išlaidų tinkamumo vertinimą, turintį įtakos nustatytam paramos dydžiui, arba atmesti projektus motyvuodama tuo, kad jie nepatenka į konkretaus ES fondo remiamų veiklų sritį.</w:t>
      </w:r>
    </w:p>
    <w:p w14:paraId="0D40C918" w14:textId="77777777" w:rsidR="00CE519E" w:rsidRPr="00CE519E" w:rsidRDefault="00CE519E" w:rsidP="00CE519E">
      <w:pPr>
        <w:jc w:val="both"/>
        <w:rPr>
          <w:rFonts w:ascii="Arial" w:hAnsi="Arial" w:cs="Arial"/>
          <w:lang w:val="lt-LT"/>
        </w:rPr>
      </w:pPr>
      <w:r w:rsidRPr="00CE519E">
        <w:rPr>
          <w:rFonts w:ascii="Arial" w:hAnsi="Arial" w:cs="Arial"/>
          <w:lang w:val="lt-LT"/>
        </w:rPr>
        <w:t>Galima pagrįstai manyti, kad, jei VVG kompetencijos būtų apribotos pagal Komisijos pasiūlymą, šie neaiškumai tik dar labiau padidėtų.</w:t>
      </w:r>
    </w:p>
    <w:p w14:paraId="096F4536"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lastRenderedPageBreak/>
        <w:t>13. Be to, susirūpinimą dėl VVG kompetencijų gali kelti ir Fondą nustatančio reglamento 75 straipsnio 3 dalis.</w:t>
      </w:r>
    </w:p>
    <w:p w14:paraId="0CBED188" w14:textId="6790AC69" w:rsidR="00CE519E" w:rsidRPr="00CE519E" w:rsidRDefault="00CE519E" w:rsidP="00CE519E">
      <w:pPr>
        <w:jc w:val="both"/>
        <w:rPr>
          <w:rFonts w:ascii="Arial" w:hAnsi="Arial" w:cs="Arial"/>
          <w:lang w:val="lt-LT"/>
        </w:rPr>
      </w:pPr>
      <w:r w:rsidRPr="00CE519E">
        <w:rPr>
          <w:rFonts w:ascii="Arial" w:hAnsi="Arial" w:cs="Arial"/>
          <w:lang w:val="lt-LT"/>
        </w:rPr>
        <w:t xml:space="preserve">Ši nuostata reglamentuoja įvairias teritorinės plėtros priemones, įskaitant </w:t>
      </w:r>
      <w:r>
        <w:rPr>
          <w:rFonts w:ascii="Arial" w:hAnsi="Arial" w:cs="Arial"/>
          <w:lang w:val="lt-LT"/>
        </w:rPr>
        <w:t>BIVP</w:t>
      </w:r>
      <w:r w:rsidRPr="00CE519E">
        <w:rPr>
          <w:rFonts w:ascii="Arial" w:hAnsi="Arial" w:cs="Arial"/>
          <w:lang w:val="lt-LT"/>
        </w:rPr>
        <w:t>.</w:t>
      </w:r>
    </w:p>
    <w:p w14:paraId="0F7908A1" w14:textId="77777777" w:rsidR="00CE519E" w:rsidRPr="00CE519E" w:rsidRDefault="00CE519E" w:rsidP="00CE519E">
      <w:pPr>
        <w:jc w:val="both"/>
        <w:rPr>
          <w:rFonts w:ascii="Arial" w:hAnsi="Arial" w:cs="Arial"/>
          <w:lang w:val="lt-LT"/>
        </w:rPr>
      </w:pPr>
      <w:r w:rsidRPr="00CE519E">
        <w:rPr>
          <w:rFonts w:ascii="Arial" w:hAnsi="Arial" w:cs="Arial"/>
          <w:lang w:val="lt-LT"/>
        </w:rPr>
        <w:t>Nepaisant prieš metus mano išsakytų pastabų, reglamento projekte ir toliau išliko nuostata, pagal kurią strategijos turi būti įgyvendinamos už jas atsakingų teritorinių ar miestų valdžios institucijų arba kitų subjektų atsakomybe; jie atrenka projektus arba dalyvauja jų atrankoje.</w:t>
      </w:r>
    </w:p>
    <w:p w14:paraId="314CC123" w14:textId="77777777" w:rsidR="00CE519E" w:rsidRPr="00CE519E" w:rsidRDefault="00CE519E" w:rsidP="00CE519E">
      <w:pPr>
        <w:jc w:val="both"/>
        <w:rPr>
          <w:rFonts w:ascii="Arial" w:hAnsi="Arial" w:cs="Arial"/>
          <w:lang w:val="lt-LT"/>
        </w:rPr>
      </w:pPr>
      <w:r w:rsidRPr="00CE519E">
        <w:rPr>
          <w:rFonts w:ascii="Arial" w:hAnsi="Arial" w:cs="Arial"/>
          <w:lang w:val="lt-LT"/>
        </w:rPr>
        <w:t>Europos Parlamento pasiūlyti šios nuostatos pakeitimai (434 pataisa) nepašalina pagrindinės abejonės – ar ši nuostata nesukuria dominuojančio teritorinės valdžios institucijų vaidmens VVG veikloje.</w:t>
      </w:r>
    </w:p>
    <w:p w14:paraId="689A1B7A" w14:textId="2A45142E" w:rsidR="00CE519E" w:rsidRPr="00CE519E" w:rsidRDefault="00CE519E" w:rsidP="00CE519E">
      <w:pPr>
        <w:jc w:val="both"/>
        <w:rPr>
          <w:rFonts w:ascii="Arial" w:hAnsi="Arial" w:cs="Arial"/>
          <w:lang w:val="lt-LT"/>
        </w:rPr>
      </w:pPr>
      <w:r w:rsidRPr="00CE519E">
        <w:rPr>
          <w:rFonts w:ascii="Arial" w:hAnsi="Arial" w:cs="Arial"/>
          <w:lang w:val="lt-LT"/>
        </w:rPr>
        <w:t xml:space="preserve">Taip pat sunku suderinti šią nuostatą su esminiu </w:t>
      </w:r>
      <w:r>
        <w:rPr>
          <w:rFonts w:ascii="Arial" w:hAnsi="Arial" w:cs="Arial"/>
          <w:lang w:val="lt-LT"/>
        </w:rPr>
        <w:t>BIVP</w:t>
      </w:r>
      <w:r w:rsidRPr="00CE519E">
        <w:rPr>
          <w:rFonts w:ascii="Arial" w:hAnsi="Arial" w:cs="Arial"/>
          <w:lang w:val="lt-LT"/>
        </w:rPr>
        <w:t xml:space="preserve"> principu, kad nė viena interesų grupė negali dominuoti VVG sprendimų priėmimo procese.</w:t>
      </w:r>
    </w:p>
    <w:p w14:paraId="7B1D0743" w14:textId="7A0CFDB4" w:rsidR="00CE519E" w:rsidRPr="00CE519E" w:rsidRDefault="00CE519E" w:rsidP="00CE519E">
      <w:pPr>
        <w:jc w:val="both"/>
        <w:rPr>
          <w:rFonts w:ascii="Arial" w:hAnsi="Arial" w:cs="Arial"/>
          <w:lang w:val="lt-LT"/>
        </w:rPr>
      </w:pPr>
      <w:r w:rsidRPr="00CE519E">
        <w:rPr>
          <w:rFonts w:ascii="Arial" w:hAnsi="Arial" w:cs="Arial"/>
          <w:lang w:val="lt-LT"/>
        </w:rPr>
        <w:t xml:space="preserve">Mano nuomone, nuostata, pagal kurią strategijos įgyvendinamos teritorinių valdžios institucijų atsakomybe, neturėtų būti taikoma </w:t>
      </w:r>
      <w:r>
        <w:rPr>
          <w:rFonts w:ascii="Arial" w:hAnsi="Arial" w:cs="Arial"/>
          <w:lang w:val="lt-LT"/>
        </w:rPr>
        <w:t>BIVP</w:t>
      </w:r>
      <w:r w:rsidRPr="00CE519E">
        <w:rPr>
          <w:rFonts w:ascii="Arial" w:hAnsi="Arial" w:cs="Arial"/>
          <w:lang w:val="lt-LT"/>
        </w:rPr>
        <w:t>.</w:t>
      </w:r>
    </w:p>
    <w:p w14:paraId="23AC7D6B" w14:textId="0572317A" w:rsidR="00CE519E" w:rsidRPr="00CE519E" w:rsidRDefault="00CE519E" w:rsidP="00CE519E">
      <w:pPr>
        <w:jc w:val="both"/>
        <w:rPr>
          <w:rFonts w:ascii="Arial" w:hAnsi="Arial" w:cs="Arial"/>
          <w:lang w:val="lt-LT"/>
        </w:rPr>
      </w:pPr>
    </w:p>
    <w:p w14:paraId="2B5430E3"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II.2. Paramos gavėjo apibrėžtis</w:t>
      </w:r>
    </w:p>
    <w:p w14:paraId="57E44516"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14. Europos Parlamento pasiūlymų analizė rodo, kad buvo atsižvelgta į ELARD reikalavimą neapriboti LEADER priemonės, įgyvendinamos pagal BŽŪP, paramos gavėjų tik ūkininkais, nors siūlomų nuostatų formuluotes dar gali reikėti toliau tobulinti teisėkūros procese.</w:t>
      </w:r>
    </w:p>
    <w:p w14:paraId="6B3B47EA"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15. Pirminiame pasiūlyme Europos Komisija pasirinko vienodą požiūrį į BŽŪP paramos gavėjus integruoto Fondo sistemoje, jiems taikydama aktyvaus ūkininko apibrėžtį.</w:t>
      </w:r>
    </w:p>
    <w:p w14:paraId="5C42BD90" w14:textId="77777777" w:rsidR="00CE519E" w:rsidRPr="00CE519E" w:rsidRDefault="00CE519E" w:rsidP="00CE519E">
      <w:pPr>
        <w:jc w:val="both"/>
        <w:rPr>
          <w:rFonts w:ascii="Arial" w:hAnsi="Arial" w:cs="Arial"/>
          <w:lang w:val="lt-LT"/>
        </w:rPr>
      </w:pPr>
      <w:r w:rsidRPr="00CE519E">
        <w:rPr>
          <w:rFonts w:ascii="Arial" w:hAnsi="Arial" w:cs="Arial"/>
          <w:lang w:val="lt-LT"/>
        </w:rPr>
        <w:t>Trumpai tariant, pagal BŽŪP paramos gavėju galėjo būti tik ūkininkas, o ūkininko sąvoka buvo apibrėžta reglamento projekto 4 straipsnyje ir buvo gana siaura.</w:t>
      </w:r>
    </w:p>
    <w:p w14:paraId="076F2A56" w14:textId="1555B613" w:rsidR="00CE519E" w:rsidRPr="00CE519E" w:rsidRDefault="00CE519E" w:rsidP="00CE519E">
      <w:pPr>
        <w:jc w:val="both"/>
        <w:rPr>
          <w:rFonts w:ascii="Arial" w:hAnsi="Arial" w:cs="Arial"/>
          <w:lang w:val="lt-LT"/>
        </w:rPr>
      </w:pPr>
      <w:r w:rsidRPr="00CE519E">
        <w:rPr>
          <w:rFonts w:ascii="Arial" w:hAnsi="Arial" w:cs="Arial"/>
          <w:lang w:val="lt-LT"/>
        </w:rPr>
        <w:t xml:space="preserve">Nors toks sprendimas galėjo būti pagrįstas kitų BŽŪP priemonių atžvilgiu, jis buvo nesuderinamas su pačia </w:t>
      </w:r>
      <w:r>
        <w:rPr>
          <w:rFonts w:ascii="Arial" w:hAnsi="Arial" w:cs="Arial"/>
          <w:lang w:val="lt-LT"/>
        </w:rPr>
        <w:t>BIVP</w:t>
      </w:r>
      <w:r w:rsidRPr="00CE519E">
        <w:rPr>
          <w:rFonts w:ascii="Arial" w:hAnsi="Arial" w:cs="Arial"/>
          <w:lang w:val="lt-LT"/>
        </w:rPr>
        <w:t>/LEADER priemonės prigimtimi.</w:t>
      </w:r>
    </w:p>
    <w:p w14:paraId="4EB7E3BB"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16. Europos Parlamento pataisos Nr. 41–43, susijusios su Fondą nustatančio reglamento projektu (2025/0240(COD)), numato atsisakyti ūkininko apibrėžties šiame reglamente.</w:t>
      </w:r>
    </w:p>
    <w:p w14:paraId="7FA86980" w14:textId="77777777" w:rsidR="00CE519E" w:rsidRPr="00CE519E" w:rsidRDefault="00CE519E" w:rsidP="00CE519E">
      <w:pPr>
        <w:jc w:val="both"/>
        <w:rPr>
          <w:rFonts w:ascii="Arial" w:hAnsi="Arial" w:cs="Arial"/>
          <w:lang w:val="lt-LT"/>
        </w:rPr>
      </w:pPr>
      <w:r w:rsidRPr="00CE519E">
        <w:rPr>
          <w:rFonts w:ascii="Arial" w:hAnsi="Arial" w:cs="Arial"/>
          <w:lang w:val="lt-LT"/>
        </w:rPr>
        <w:t>Pagal pakeistą požiūrį reglamente ir toliau būtų nustatyta, kad BŽŪP paramos gavėjas yra ūkininkas, tačiau pati šios sąvokos apibrėžtis būtų nukreipiama į atitinkamą BŽŪP reglamento nuostatą, kurioje ši sąvoka būtų detaliai apibrėžta.</w:t>
      </w:r>
    </w:p>
    <w:p w14:paraId="7AE45B44"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Todėl BŽŪP reglamento projekte Europos Parlamentas pasiūlė (10 pataisa, 2025/0241(COD)) įtraukti ūkininko apibrėžtį, kartu nustatant, kad pagal LEADER priemonę paramos gavėju gali būti ir ne tik ūkininkas, bet ir kitas subjektas (fizinis asmuo, juridinis asmuo arba juridinio asmens </w:t>
      </w:r>
      <w:r w:rsidRPr="00CE519E">
        <w:rPr>
          <w:rFonts w:ascii="Arial" w:hAnsi="Arial" w:cs="Arial"/>
          <w:lang w:val="lt-LT"/>
        </w:rPr>
        <w:lastRenderedPageBreak/>
        <w:t>statuso neturintis organizacinis vienetas, įsteigtas arba veikiantis atitinkamos vietos plėtros strategijos teritorijoje).</w:t>
      </w:r>
    </w:p>
    <w:p w14:paraId="258E4501" w14:textId="77777777" w:rsidR="00CE519E" w:rsidRPr="00CE519E" w:rsidRDefault="00CE519E" w:rsidP="00CE519E">
      <w:pPr>
        <w:jc w:val="both"/>
        <w:rPr>
          <w:rFonts w:ascii="Arial" w:hAnsi="Arial" w:cs="Arial"/>
          <w:lang w:val="lt-LT"/>
        </w:rPr>
      </w:pPr>
      <w:r w:rsidRPr="00CE519E">
        <w:rPr>
          <w:rFonts w:ascii="Arial" w:hAnsi="Arial" w:cs="Arial"/>
          <w:lang w:val="lt-LT"/>
        </w:rPr>
        <w:t>Todėl ši pataisa neabejotinai laikytina ELARD laimėjimu, nes siūloma nuostatų redakcija sudarytų galimybę gauti LEADER paramą ir su žemės ūkiu nesusijusiems subjektams.</w:t>
      </w:r>
    </w:p>
    <w:p w14:paraId="5DF9F03B"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17. Nepaisant bendro teigiamo siūlomų pakeitimų vertinimo, Europos Parlamento pataisos šioje srityje gali būti kritikuojamos dėl tam tikro nenuoseklumo.</w:t>
      </w:r>
    </w:p>
    <w:p w14:paraId="58820277" w14:textId="77777777" w:rsidR="00CE519E" w:rsidRPr="00CE519E" w:rsidRDefault="00CE519E" w:rsidP="00CE519E">
      <w:pPr>
        <w:jc w:val="both"/>
        <w:rPr>
          <w:rFonts w:ascii="Arial" w:hAnsi="Arial" w:cs="Arial"/>
          <w:lang w:val="lt-LT"/>
        </w:rPr>
      </w:pPr>
      <w:r w:rsidRPr="00CE519E">
        <w:rPr>
          <w:rFonts w:ascii="Arial" w:hAnsi="Arial" w:cs="Arial"/>
          <w:lang w:val="lt-LT"/>
        </w:rPr>
        <w:t>Fondą nustatantis reglamentas turėtų būti pagrindinis teisės aktas naujajam programavimo laikotarpiui. Jame bus pateikta bendra visoms politikos sritims taikoma paramos gavėjo apibrėžtis.</w:t>
      </w:r>
    </w:p>
    <w:p w14:paraId="0EA572D0" w14:textId="77777777" w:rsidR="00CE519E" w:rsidRPr="00CE519E" w:rsidRDefault="00CE519E" w:rsidP="00CE519E">
      <w:pPr>
        <w:jc w:val="both"/>
        <w:rPr>
          <w:rFonts w:ascii="Arial" w:hAnsi="Arial" w:cs="Arial"/>
          <w:lang w:val="lt-LT"/>
        </w:rPr>
      </w:pPr>
      <w:r w:rsidRPr="00CE519E">
        <w:rPr>
          <w:rFonts w:ascii="Arial" w:hAnsi="Arial" w:cs="Arial"/>
          <w:lang w:val="lt-LT"/>
        </w:rPr>
        <w:t>Tačiau po Parlamento pataisų šiame reglamente ir toliau bus nurodyta, kad pagal BŽŪP paramos gavėjas yra tik ūkininkas, kaip apibrėžta konkrečioje BŽŪP reglamento nuostatoje.</w:t>
      </w:r>
    </w:p>
    <w:p w14:paraId="7C325865" w14:textId="77777777" w:rsidR="00CE519E" w:rsidRPr="00CE519E" w:rsidRDefault="00CE519E" w:rsidP="00CE519E">
      <w:pPr>
        <w:jc w:val="both"/>
        <w:rPr>
          <w:rFonts w:ascii="Arial" w:hAnsi="Arial" w:cs="Arial"/>
          <w:lang w:val="lt-LT"/>
        </w:rPr>
      </w:pPr>
      <w:r w:rsidRPr="00CE519E">
        <w:rPr>
          <w:rFonts w:ascii="Arial" w:hAnsi="Arial" w:cs="Arial"/>
          <w:lang w:val="lt-LT"/>
        </w:rPr>
        <w:t>Tik pačiame BŽŪP reglamente nustatoma, kad, priešingai nei pažodžiui būtų galima suprasti iš Fondą nustatančio reglamento, pagal BŽŪP paramos gavėju gali būti ne tik ūkininkas.</w:t>
      </w:r>
    </w:p>
    <w:p w14:paraId="32761BCB" w14:textId="77777777" w:rsidR="00CE519E" w:rsidRPr="00CE519E" w:rsidRDefault="00CE519E" w:rsidP="00CE519E">
      <w:pPr>
        <w:jc w:val="both"/>
        <w:rPr>
          <w:rFonts w:ascii="Arial" w:hAnsi="Arial" w:cs="Arial"/>
          <w:lang w:val="lt-LT"/>
        </w:rPr>
      </w:pPr>
      <w:r w:rsidRPr="00CE519E">
        <w:rPr>
          <w:rFonts w:ascii="Arial" w:hAnsi="Arial" w:cs="Arial"/>
          <w:lang w:val="lt-LT"/>
        </w:rPr>
        <w:t>Tai sukuria tam tikrą abiejų reglamentų nuostatų nenuoseklumą ir pažeidžia jų tarpusavio sisteminį suderinamumą.</w:t>
      </w:r>
    </w:p>
    <w:p w14:paraId="78151362" w14:textId="77777777" w:rsidR="00CE519E" w:rsidRPr="00CE519E" w:rsidRDefault="00CE519E" w:rsidP="00CE519E">
      <w:pPr>
        <w:jc w:val="both"/>
        <w:rPr>
          <w:rFonts w:ascii="Arial" w:hAnsi="Arial" w:cs="Arial"/>
          <w:lang w:val="lt-LT"/>
        </w:rPr>
      </w:pPr>
      <w:r w:rsidRPr="00CE519E">
        <w:rPr>
          <w:rFonts w:ascii="Arial" w:hAnsi="Arial" w:cs="Arial"/>
          <w:lang w:val="lt-LT"/>
        </w:rPr>
        <w:t>Jeigu Fondą nustatantis reglamentas turi nustatyti, kas gali būti laikomas paramos gavėju, mano nuomone, šis klausimas neturėtų būti iš naujo reglamentuojamas kitame reglamente.</w:t>
      </w:r>
    </w:p>
    <w:p w14:paraId="5B95923B" w14:textId="77777777" w:rsidR="00CE519E" w:rsidRPr="00CE519E" w:rsidRDefault="00CE519E" w:rsidP="00CE519E">
      <w:pPr>
        <w:jc w:val="both"/>
        <w:rPr>
          <w:rFonts w:ascii="Arial" w:hAnsi="Arial" w:cs="Arial"/>
          <w:lang w:val="lt-LT"/>
        </w:rPr>
      </w:pPr>
      <w:r w:rsidRPr="00CE519E">
        <w:rPr>
          <w:rFonts w:ascii="Arial" w:hAnsi="Arial" w:cs="Arial"/>
          <w:lang w:val="lt-LT"/>
        </w:rPr>
        <w:t>Siekiant pašalinti šį nenuoseklumą, Fondą nustatančiame reglamente reikėtų nustatyti, kad pagal bendrą taisyklę BŽŪP paramos gavėjas yra ūkininkas, kaip apibrėžta atitinkamoje BŽŪP reglamento nuostatoje, tačiau pagal LEADER priemonę paramos gavėju gali būti ir kitas tame reglamente atskirai apibrėžtas subjektas.</w:t>
      </w:r>
    </w:p>
    <w:p w14:paraId="1417D68D" w14:textId="77777777" w:rsidR="00CE519E" w:rsidRPr="00CE519E" w:rsidRDefault="00CE519E" w:rsidP="00CE519E">
      <w:pPr>
        <w:jc w:val="both"/>
        <w:rPr>
          <w:rFonts w:ascii="Arial" w:hAnsi="Arial" w:cs="Arial"/>
          <w:lang w:val="lt-LT"/>
        </w:rPr>
      </w:pPr>
      <w:r w:rsidRPr="00CE519E">
        <w:rPr>
          <w:rFonts w:ascii="Arial" w:hAnsi="Arial" w:cs="Arial"/>
          <w:lang w:val="lt-LT"/>
        </w:rPr>
        <w:t>Vis dėlto nekyla abejonių, kad siūlomų pakeitimų kryptis yra teigiama. Ji patvirtina teritorinį, o ne sektorinį LEADER priemonės pobūdį ir atkuria jos pirminį platų socialinį charakterį.</w:t>
      </w:r>
    </w:p>
    <w:p w14:paraId="6C681232" w14:textId="0EC04D99"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II.3. LEADER ir </w:t>
      </w:r>
      <w:r>
        <w:rPr>
          <w:rFonts w:ascii="Arial" w:hAnsi="Arial" w:cs="Arial"/>
          <w:b/>
          <w:bCs/>
          <w:lang w:val="lt-LT"/>
        </w:rPr>
        <w:t>BIVP</w:t>
      </w:r>
      <w:r w:rsidRPr="00CE519E">
        <w:rPr>
          <w:rFonts w:ascii="Arial" w:hAnsi="Arial" w:cs="Arial"/>
          <w:b/>
          <w:bCs/>
          <w:lang w:val="lt-LT"/>
        </w:rPr>
        <w:t xml:space="preserve"> paramos apimties išplėtimas, kad priemone galėtų naudotis įvairūs subjektai, veikiantys vietos plėtros strategijos teritorijoje</w:t>
      </w:r>
    </w:p>
    <w:p w14:paraId="6F8F0A89"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18. Pirminiame BŽŪP reglamento projekte LEADER priemonės taikymo sritis buvo numatyta gerokai siauresnė nei dabartiniu programavimo laikotarpiu.</w:t>
      </w:r>
    </w:p>
    <w:p w14:paraId="5D942C11" w14:textId="77777777" w:rsidR="00CE519E" w:rsidRPr="00CE519E" w:rsidRDefault="00CE519E" w:rsidP="00CE519E">
      <w:pPr>
        <w:jc w:val="both"/>
        <w:rPr>
          <w:rFonts w:ascii="Arial" w:hAnsi="Arial" w:cs="Arial"/>
          <w:lang w:val="lt-LT"/>
        </w:rPr>
      </w:pPr>
      <w:r w:rsidRPr="00CE519E">
        <w:rPr>
          <w:rFonts w:ascii="Arial" w:hAnsi="Arial" w:cs="Arial"/>
          <w:lang w:val="lt-LT"/>
        </w:rPr>
        <w:t>Siūlomas šio reglamento 18 straipsnis LEADER paramą iš esmės apribojo žemės ūkio tikslais ir kaimo turizmu. Be to, reglamento projekto 18 straipsnio 2 dalyje buvo formuluotė, leidžianti suprasti, kad ši priemonė pirmiausia skirta kaimo vietovėms, turinčioms specifinių poreikių.</w:t>
      </w:r>
    </w:p>
    <w:p w14:paraId="186B8396" w14:textId="40D8ED57" w:rsidR="00CE519E" w:rsidRPr="00CE519E" w:rsidRDefault="00CE519E" w:rsidP="00CE519E">
      <w:pPr>
        <w:jc w:val="both"/>
        <w:rPr>
          <w:rFonts w:ascii="Arial" w:hAnsi="Arial" w:cs="Arial"/>
          <w:lang w:val="lt-LT"/>
        </w:rPr>
      </w:pPr>
      <w:r w:rsidRPr="00CE519E">
        <w:rPr>
          <w:rFonts w:ascii="Arial" w:hAnsi="Arial" w:cs="Arial"/>
          <w:lang w:val="lt-LT"/>
        </w:rPr>
        <w:t xml:space="preserve">Kartu Fondą nustatančio reglamento projekte </w:t>
      </w:r>
      <w:r>
        <w:rPr>
          <w:rFonts w:ascii="Arial" w:hAnsi="Arial" w:cs="Arial"/>
          <w:lang w:val="lt-LT"/>
        </w:rPr>
        <w:t>BIVP</w:t>
      </w:r>
      <w:r w:rsidRPr="00CE519E">
        <w:rPr>
          <w:rFonts w:ascii="Arial" w:hAnsi="Arial" w:cs="Arial"/>
          <w:lang w:val="lt-LT"/>
        </w:rPr>
        <w:t xml:space="preserve"> skirtose nuostatose ši priemonė nebuvo susieta su kaimo vietovėmis.</w:t>
      </w:r>
    </w:p>
    <w:p w14:paraId="6FA3CB2F" w14:textId="2C7D4CE1" w:rsidR="00CE519E" w:rsidRPr="00CE519E" w:rsidRDefault="00CE519E" w:rsidP="00CE519E">
      <w:pPr>
        <w:jc w:val="both"/>
        <w:rPr>
          <w:rFonts w:ascii="Arial" w:hAnsi="Arial" w:cs="Arial"/>
          <w:lang w:val="lt-LT"/>
        </w:rPr>
      </w:pPr>
      <w:r w:rsidRPr="00CE519E">
        <w:rPr>
          <w:rFonts w:ascii="Arial" w:hAnsi="Arial" w:cs="Arial"/>
          <w:lang w:val="lt-LT"/>
        </w:rPr>
        <w:lastRenderedPageBreak/>
        <w:t xml:space="preserve">Tai reiškė, kad „kaimo“ VVG galėtų įgyvendinti tik projektus, susijusius su žemės ūkiu ir su juo glaudžiai susijusia veikla. Tokį požiūrį dar labiau sustiprino nuostatos, kurios BŽŪP paramos gavėjais pripažino tik ūkininkus, bei prielaida, kad LEADER ir </w:t>
      </w:r>
      <w:r>
        <w:rPr>
          <w:rFonts w:ascii="Arial" w:hAnsi="Arial" w:cs="Arial"/>
          <w:lang w:val="lt-LT"/>
        </w:rPr>
        <w:t>BIVP</w:t>
      </w:r>
      <w:r w:rsidRPr="00CE519E">
        <w:rPr>
          <w:rFonts w:ascii="Arial" w:hAnsi="Arial" w:cs="Arial"/>
          <w:lang w:val="lt-LT"/>
        </w:rPr>
        <w:t xml:space="preserve"> veiktų kaip dvi atskiros priemonės.</w:t>
      </w:r>
    </w:p>
    <w:p w14:paraId="79B6C507"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19. Tai, kad nebuvo jokios nuorodos į LEADER indėlį į platesnę teritorinę plėtrą, vietos paslaugų teikimą, socialines inovacijas, jaunimo įtraukimą, kultūrinį gyvenimą ar socialinę </w:t>
      </w:r>
      <w:proofErr w:type="spellStart"/>
      <w:r w:rsidRPr="00CE519E">
        <w:rPr>
          <w:rFonts w:ascii="Arial" w:hAnsi="Arial" w:cs="Arial"/>
          <w:b/>
          <w:bCs/>
          <w:lang w:val="lt-LT"/>
        </w:rPr>
        <w:t>įtrauktį</w:t>
      </w:r>
      <w:proofErr w:type="spellEnd"/>
      <w:r w:rsidRPr="00CE519E">
        <w:rPr>
          <w:rFonts w:ascii="Arial" w:hAnsi="Arial" w:cs="Arial"/>
          <w:b/>
          <w:bCs/>
          <w:lang w:val="lt-LT"/>
        </w:rPr>
        <w:t>, taip pat nebuvo paminėtas LEADER būdingas daugiasektorinis ir dalyvavimu grindžiamas požiūris, sukėlė VVG susirūpinimą.</w:t>
      </w:r>
    </w:p>
    <w:p w14:paraId="73B1A097" w14:textId="77777777" w:rsidR="00CE519E" w:rsidRPr="00CE519E" w:rsidRDefault="00CE519E" w:rsidP="00CE519E">
      <w:pPr>
        <w:jc w:val="both"/>
        <w:rPr>
          <w:rFonts w:ascii="Arial" w:hAnsi="Arial" w:cs="Arial"/>
          <w:lang w:val="lt-LT"/>
        </w:rPr>
      </w:pPr>
      <w:r w:rsidRPr="00CE519E">
        <w:rPr>
          <w:rFonts w:ascii="Arial" w:hAnsi="Arial" w:cs="Arial"/>
          <w:lang w:val="lt-LT"/>
        </w:rPr>
        <w:t>Todėl ELARD pateikė pastabas dėl siūlomų šios srities nuostatų, ypač dėl BŽŪP reglamento 18 straipsnio.</w:t>
      </w:r>
    </w:p>
    <w:p w14:paraId="006AB539"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20. Šiuo metu nagrinėjami Europos Parlamento pasiūlyti pakeitimai numato sugrąžinti LEADER priemonei ankstesniems programavimo laikotarpiams būdingus bruožus.</w:t>
      </w:r>
    </w:p>
    <w:p w14:paraId="18B702A2" w14:textId="77777777" w:rsidR="00CE519E" w:rsidRPr="00CE519E" w:rsidRDefault="00CE519E" w:rsidP="00CE519E">
      <w:pPr>
        <w:jc w:val="both"/>
        <w:rPr>
          <w:rFonts w:ascii="Arial" w:hAnsi="Arial" w:cs="Arial"/>
          <w:lang w:val="lt-LT"/>
        </w:rPr>
      </w:pPr>
      <w:r w:rsidRPr="00CE519E">
        <w:rPr>
          <w:rFonts w:ascii="Arial" w:hAnsi="Arial" w:cs="Arial"/>
          <w:b/>
          <w:bCs/>
          <w:lang w:val="lt-LT"/>
        </w:rPr>
        <w:t>117 pataisa</w:t>
      </w:r>
      <w:r w:rsidRPr="00CE519E">
        <w:rPr>
          <w:rFonts w:ascii="Arial" w:hAnsi="Arial" w:cs="Arial"/>
          <w:lang w:val="lt-LT"/>
        </w:rPr>
        <w:t xml:space="preserve"> BŽŪP reglamente iš 18 straipsnio 2 dalies išbraukia formuluotę, leidžiančią suprasti, kad LEADER skirtas tik kaimo vietovėms, turinčioms specifinių poreikių.</w:t>
      </w:r>
    </w:p>
    <w:p w14:paraId="3FECB9CC" w14:textId="77777777" w:rsidR="00CE519E" w:rsidRPr="00CE519E" w:rsidRDefault="00CE519E" w:rsidP="00CE519E">
      <w:pPr>
        <w:jc w:val="both"/>
        <w:rPr>
          <w:rFonts w:ascii="Arial" w:hAnsi="Arial" w:cs="Arial"/>
          <w:lang w:val="lt-LT"/>
        </w:rPr>
      </w:pPr>
      <w:r w:rsidRPr="00CE519E">
        <w:rPr>
          <w:rFonts w:ascii="Arial" w:hAnsi="Arial" w:cs="Arial"/>
          <w:b/>
          <w:bCs/>
          <w:lang w:val="lt-LT"/>
        </w:rPr>
        <w:t>118 pataisa</w:t>
      </w:r>
      <w:r w:rsidRPr="00CE519E">
        <w:rPr>
          <w:rFonts w:ascii="Arial" w:hAnsi="Arial" w:cs="Arial"/>
          <w:lang w:val="lt-LT"/>
        </w:rPr>
        <w:t xml:space="preserve"> savo ruožtu išplečia 18 straipsnio 3 dalyje išvardytų remiamų projektų kategorijas, palyginti su pirminiu tekstu.</w:t>
      </w:r>
    </w:p>
    <w:p w14:paraId="77A0AE3F" w14:textId="77777777" w:rsidR="00CE519E" w:rsidRPr="00CE519E" w:rsidRDefault="00CE519E" w:rsidP="00CE519E">
      <w:pPr>
        <w:jc w:val="both"/>
        <w:rPr>
          <w:rFonts w:ascii="Arial" w:hAnsi="Arial" w:cs="Arial"/>
          <w:lang w:val="lt-LT"/>
        </w:rPr>
      </w:pPr>
      <w:r w:rsidRPr="00CE519E">
        <w:rPr>
          <w:rFonts w:ascii="Arial" w:hAnsi="Arial" w:cs="Arial"/>
          <w:lang w:val="lt-LT"/>
        </w:rPr>
        <w:t>Pataisoje numatyta, kad LEADER rems projektus, susijusius su:</w:t>
      </w:r>
    </w:p>
    <w:p w14:paraId="6A499507" w14:textId="77777777" w:rsidR="00CE519E" w:rsidRPr="00CE519E" w:rsidRDefault="00CE519E" w:rsidP="00CE519E">
      <w:pPr>
        <w:numPr>
          <w:ilvl w:val="0"/>
          <w:numId w:val="4"/>
        </w:numPr>
        <w:jc w:val="both"/>
        <w:rPr>
          <w:rFonts w:ascii="Arial" w:hAnsi="Arial" w:cs="Arial"/>
          <w:lang w:val="lt-LT"/>
        </w:rPr>
      </w:pPr>
      <w:r w:rsidRPr="00CE519E">
        <w:rPr>
          <w:rFonts w:ascii="Arial" w:hAnsi="Arial" w:cs="Arial"/>
          <w:lang w:val="lt-LT"/>
        </w:rPr>
        <w:t>naujai steigiamomis įmonėmis;</w:t>
      </w:r>
    </w:p>
    <w:p w14:paraId="23E72E59" w14:textId="77777777" w:rsidR="00CE519E" w:rsidRPr="00CE519E" w:rsidRDefault="00CE519E" w:rsidP="00CE519E">
      <w:pPr>
        <w:numPr>
          <w:ilvl w:val="0"/>
          <w:numId w:val="4"/>
        </w:numPr>
        <w:jc w:val="both"/>
        <w:rPr>
          <w:rFonts w:ascii="Arial" w:hAnsi="Arial" w:cs="Arial"/>
          <w:lang w:val="lt-LT"/>
        </w:rPr>
      </w:pPr>
      <w:r w:rsidRPr="00CE519E">
        <w:rPr>
          <w:rFonts w:ascii="Arial" w:hAnsi="Arial" w:cs="Arial"/>
          <w:lang w:val="lt-LT"/>
        </w:rPr>
        <w:t>pridėtinės vertės kūrimu perdirbimo veikloje;</w:t>
      </w:r>
    </w:p>
    <w:p w14:paraId="76E9C905" w14:textId="77777777" w:rsidR="00CE519E" w:rsidRPr="00CE519E" w:rsidRDefault="00CE519E" w:rsidP="00CE519E">
      <w:pPr>
        <w:numPr>
          <w:ilvl w:val="0"/>
          <w:numId w:val="4"/>
        </w:numPr>
        <w:jc w:val="both"/>
        <w:rPr>
          <w:rFonts w:ascii="Arial" w:hAnsi="Arial" w:cs="Arial"/>
          <w:lang w:val="lt-LT"/>
        </w:rPr>
      </w:pPr>
      <w:r w:rsidRPr="00CE519E">
        <w:rPr>
          <w:rFonts w:ascii="Arial" w:hAnsi="Arial" w:cs="Arial"/>
          <w:lang w:val="lt-LT"/>
        </w:rPr>
        <w:t>žemės ūkio veiklos įvairinimu, įskaitant kaimo turizmą;</w:t>
      </w:r>
    </w:p>
    <w:p w14:paraId="01D1C9F8" w14:textId="77777777" w:rsidR="00CE519E" w:rsidRPr="00CE519E" w:rsidRDefault="00CE519E" w:rsidP="00CE519E">
      <w:pPr>
        <w:numPr>
          <w:ilvl w:val="0"/>
          <w:numId w:val="4"/>
        </w:numPr>
        <w:jc w:val="both"/>
        <w:rPr>
          <w:rFonts w:ascii="Arial" w:hAnsi="Arial" w:cs="Arial"/>
          <w:lang w:val="lt-LT"/>
        </w:rPr>
      </w:pPr>
      <w:r w:rsidRPr="00CE519E">
        <w:rPr>
          <w:rFonts w:ascii="Arial" w:hAnsi="Arial" w:cs="Arial"/>
          <w:lang w:val="lt-LT"/>
        </w:rPr>
        <w:t>tiesioginiu žemės ūkio produktų pardavimu;</w:t>
      </w:r>
    </w:p>
    <w:p w14:paraId="683DDA07" w14:textId="77777777" w:rsidR="00CE519E" w:rsidRPr="00CE519E" w:rsidRDefault="00CE519E" w:rsidP="00CE519E">
      <w:pPr>
        <w:numPr>
          <w:ilvl w:val="0"/>
          <w:numId w:val="4"/>
        </w:numPr>
        <w:jc w:val="both"/>
        <w:rPr>
          <w:rFonts w:ascii="Arial" w:hAnsi="Arial" w:cs="Arial"/>
          <w:lang w:val="lt-LT"/>
        </w:rPr>
      </w:pPr>
      <w:r w:rsidRPr="00CE519E">
        <w:rPr>
          <w:rFonts w:ascii="Arial" w:hAnsi="Arial" w:cs="Arial"/>
          <w:lang w:val="lt-LT"/>
        </w:rPr>
        <w:t>inovacijomis.</w:t>
      </w:r>
    </w:p>
    <w:p w14:paraId="27E21B75" w14:textId="77777777" w:rsidR="00CE519E" w:rsidRPr="00CE519E" w:rsidRDefault="00CE519E" w:rsidP="00CE519E">
      <w:pPr>
        <w:jc w:val="both"/>
        <w:rPr>
          <w:rFonts w:ascii="Arial" w:hAnsi="Arial" w:cs="Arial"/>
          <w:lang w:val="lt-LT"/>
        </w:rPr>
      </w:pPr>
      <w:r w:rsidRPr="00CE519E">
        <w:rPr>
          <w:rFonts w:ascii="Arial" w:hAnsi="Arial" w:cs="Arial"/>
          <w:lang w:val="lt-LT"/>
        </w:rPr>
        <w:t>Taip pat numatyta, kad parama gali būti skiriama projektams, kurie prisideda prie vietos bendruomenių telkimo ir aktyvinimo.</w:t>
      </w:r>
    </w:p>
    <w:p w14:paraId="28442AFA" w14:textId="77777777" w:rsidR="00CE519E" w:rsidRPr="00CE519E" w:rsidRDefault="00CE519E" w:rsidP="00CE519E">
      <w:pPr>
        <w:jc w:val="both"/>
        <w:rPr>
          <w:rFonts w:ascii="Arial" w:hAnsi="Arial" w:cs="Arial"/>
          <w:lang w:val="lt-LT"/>
        </w:rPr>
      </w:pPr>
      <w:r w:rsidRPr="00CE519E">
        <w:rPr>
          <w:rFonts w:ascii="Arial" w:hAnsi="Arial" w:cs="Arial"/>
          <w:lang w:val="lt-LT"/>
        </w:rPr>
        <w:t>Tačiau pažymėtina, kad ELARD pasiūlymai į BŽŪP reglamento 18 straipsnio 3 dalį įtraukti ir viešajam sektoriui svarbius projektus, pavyzdžiui, investicijas į vietos infrastruktūrą, nebuvo įtraukti.</w:t>
      </w:r>
    </w:p>
    <w:p w14:paraId="5A3179A2"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Panašiai ir </w:t>
      </w:r>
      <w:r w:rsidRPr="00CE519E">
        <w:rPr>
          <w:rFonts w:ascii="Arial" w:hAnsi="Arial" w:cs="Arial"/>
          <w:b/>
          <w:bCs/>
          <w:lang w:val="lt-LT"/>
        </w:rPr>
        <w:t>119 pataisa</w:t>
      </w:r>
      <w:r w:rsidRPr="00CE519E">
        <w:rPr>
          <w:rFonts w:ascii="Arial" w:hAnsi="Arial" w:cs="Arial"/>
          <w:lang w:val="lt-LT"/>
        </w:rPr>
        <w:t>, susijusi su BŽŪP reglamento 18 straipsnio 4 dalimi, išplečia tiek remiamų veiklų turinį, tiek subjektų, kuriems turėtų būti naudinga LEADER parama, ratą.</w:t>
      </w:r>
    </w:p>
    <w:p w14:paraId="37141A43" w14:textId="77777777" w:rsidR="00CE519E" w:rsidRPr="00CE519E" w:rsidRDefault="00CE519E" w:rsidP="00CE519E">
      <w:pPr>
        <w:jc w:val="both"/>
        <w:rPr>
          <w:rFonts w:ascii="Arial" w:hAnsi="Arial" w:cs="Arial"/>
          <w:lang w:val="lt-LT"/>
        </w:rPr>
      </w:pPr>
      <w:r w:rsidRPr="00CE519E">
        <w:rPr>
          <w:rFonts w:ascii="Arial" w:hAnsi="Arial" w:cs="Arial"/>
          <w:lang w:val="lt-LT"/>
        </w:rPr>
        <w:t>Pirminėje redakcijoje ši nuostata buvo orientuota į pridėtinės vertės kūrimą ūkininkams ir miškų savininkams.</w:t>
      </w:r>
    </w:p>
    <w:p w14:paraId="19405116" w14:textId="77777777" w:rsidR="00CE519E" w:rsidRPr="00CE519E" w:rsidRDefault="00CE519E" w:rsidP="00CE519E">
      <w:pPr>
        <w:jc w:val="both"/>
        <w:rPr>
          <w:rFonts w:ascii="Arial" w:hAnsi="Arial" w:cs="Arial"/>
          <w:lang w:val="lt-LT"/>
        </w:rPr>
      </w:pPr>
      <w:r w:rsidRPr="00CE519E">
        <w:rPr>
          <w:rFonts w:ascii="Arial" w:hAnsi="Arial" w:cs="Arial"/>
          <w:lang w:val="lt-LT"/>
        </w:rPr>
        <w:lastRenderedPageBreak/>
        <w:t xml:space="preserve">Europos Parlamentas siūlo ją pakeisti taip, kad parama būtų orientuota į pridėtinės vertės kūrimą </w:t>
      </w:r>
      <w:r w:rsidRPr="00CE519E">
        <w:rPr>
          <w:rFonts w:ascii="Arial" w:hAnsi="Arial" w:cs="Arial"/>
          <w:b/>
          <w:bCs/>
          <w:lang w:val="lt-LT"/>
        </w:rPr>
        <w:t>kaimo bendruomenėms</w:t>
      </w:r>
      <w:r w:rsidRPr="00CE519E">
        <w:rPr>
          <w:rFonts w:ascii="Arial" w:hAnsi="Arial" w:cs="Arial"/>
          <w:lang w:val="lt-LT"/>
        </w:rPr>
        <w:t>, kuriose ūkininkai ir miškų savininkai išlieka svarbiomis suinteresuotosiomis grupėmis.</w:t>
      </w:r>
    </w:p>
    <w:p w14:paraId="53737D2D"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21. BŽŪP reglamento 18 straipsnio pakeitimai (117–119 pataisos) juda teisinga kryptimi, nors sunku išvengti išvados, kad didesnis teksto kiekis nebūtinai reiškia geresnę teisėkūros kokybę.</w:t>
      </w:r>
    </w:p>
    <w:p w14:paraId="10960C6E" w14:textId="77777777" w:rsidR="00CE519E" w:rsidRPr="00CE519E" w:rsidRDefault="00CE519E" w:rsidP="00CE519E">
      <w:pPr>
        <w:jc w:val="both"/>
        <w:rPr>
          <w:rFonts w:ascii="Arial" w:hAnsi="Arial" w:cs="Arial"/>
          <w:lang w:val="lt-LT"/>
        </w:rPr>
      </w:pPr>
      <w:r w:rsidRPr="00CE519E">
        <w:rPr>
          <w:rFonts w:ascii="Arial" w:hAnsi="Arial" w:cs="Arial"/>
          <w:lang w:val="lt-LT"/>
        </w:rPr>
        <w:t>Šiuo metu dar sunkiau nei pirminėje redakcijoje aiškiai atskirti, kokius klausimus reglamentuoja 18 straipsnio 3 dalis ir kokius – 18 straipsnio 4 dalis.</w:t>
      </w:r>
    </w:p>
    <w:p w14:paraId="67678CB5" w14:textId="77777777" w:rsidR="00CE519E" w:rsidRPr="00CE519E" w:rsidRDefault="00CE519E" w:rsidP="00CE519E">
      <w:pPr>
        <w:jc w:val="both"/>
        <w:rPr>
          <w:rFonts w:ascii="Arial" w:hAnsi="Arial" w:cs="Arial"/>
          <w:lang w:val="lt-LT"/>
        </w:rPr>
      </w:pPr>
      <w:r w:rsidRPr="00CE519E">
        <w:rPr>
          <w:rFonts w:ascii="Arial" w:hAnsi="Arial" w:cs="Arial"/>
          <w:lang w:val="lt-LT"/>
        </w:rPr>
        <w:t>Šis atskyrimas nėra grindžiamas, pavyzdžiui, principu, kad viena dalis reglamentuoja paramos gavėjus, o kita – paramos tikslus.</w:t>
      </w:r>
    </w:p>
    <w:p w14:paraId="0A8DF72A" w14:textId="77777777" w:rsidR="00CE519E" w:rsidRPr="00CE519E" w:rsidRDefault="00CE519E" w:rsidP="00CE519E">
      <w:pPr>
        <w:jc w:val="both"/>
        <w:rPr>
          <w:rFonts w:ascii="Arial" w:hAnsi="Arial" w:cs="Arial"/>
          <w:lang w:val="lt-LT"/>
        </w:rPr>
      </w:pPr>
      <w:r w:rsidRPr="00CE519E">
        <w:rPr>
          <w:rFonts w:ascii="Arial" w:hAnsi="Arial" w:cs="Arial"/>
          <w:lang w:val="lt-LT"/>
        </w:rPr>
        <w:t>Atrodo, kad abi dalys iš esmės reglamentuoja tuos pačius klausimus labai bendromis ir nekonkrečiomis formuluotėmis.</w:t>
      </w:r>
    </w:p>
    <w:p w14:paraId="034FBFF5"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22. Vertinant projektų, kuriuos gali apimti LEADER įgyvendinančių VVG vietos plėtros strategijos, išplėtimą, gana palankiai vertintina ir 436 pataisa Fondą nustatančio reglamento projektui.</w:t>
      </w:r>
    </w:p>
    <w:p w14:paraId="2583C83D" w14:textId="77777777" w:rsidR="00CE519E" w:rsidRPr="00CE519E" w:rsidRDefault="00CE519E" w:rsidP="00CE519E">
      <w:pPr>
        <w:jc w:val="both"/>
        <w:rPr>
          <w:rFonts w:ascii="Arial" w:hAnsi="Arial" w:cs="Arial"/>
          <w:lang w:val="lt-LT"/>
        </w:rPr>
      </w:pPr>
      <w:r w:rsidRPr="00CE519E">
        <w:rPr>
          <w:rFonts w:ascii="Arial" w:hAnsi="Arial" w:cs="Arial"/>
          <w:lang w:val="lt-LT"/>
        </w:rPr>
        <w:t>Joje siūloma papildyti šio reglamento 76 straipsnį nauja dalimi.</w:t>
      </w:r>
    </w:p>
    <w:p w14:paraId="4BA58269" w14:textId="77777777" w:rsidR="00CE519E" w:rsidRPr="00CE519E" w:rsidRDefault="00CE519E" w:rsidP="00CE519E">
      <w:pPr>
        <w:jc w:val="both"/>
        <w:rPr>
          <w:rFonts w:ascii="Arial" w:hAnsi="Arial" w:cs="Arial"/>
          <w:lang w:val="lt-LT"/>
        </w:rPr>
      </w:pPr>
      <w:r w:rsidRPr="00CE519E">
        <w:rPr>
          <w:rFonts w:ascii="Arial" w:hAnsi="Arial" w:cs="Arial"/>
          <w:lang w:val="lt-LT"/>
        </w:rPr>
        <w:t>Pagal siūlomą nuostatą LEADER įgyvendinančios vietos veiklos grupės taip pat galėtų naudotis 76 straipsnyje numatyta Fondo parama.</w:t>
      </w:r>
    </w:p>
    <w:p w14:paraId="2788D41B" w14:textId="77777777" w:rsidR="00CE519E" w:rsidRPr="00CE519E" w:rsidRDefault="00CE519E" w:rsidP="00CE519E">
      <w:pPr>
        <w:jc w:val="both"/>
        <w:rPr>
          <w:rFonts w:ascii="Arial" w:hAnsi="Arial" w:cs="Arial"/>
          <w:lang w:val="lt-LT"/>
        </w:rPr>
      </w:pPr>
      <w:r w:rsidRPr="00CE519E">
        <w:rPr>
          <w:rFonts w:ascii="Arial" w:hAnsi="Arial" w:cs="Arial"/>
          <w:lang w:val="lt-LT"/>
        </w:rPr>
        <w:t>Tačiau problema ta, kad pats 76 straipsnis neapibrėžia konkrečios paramos apimties, t. y. jame nėra nustatyto tinkamų finansuoti veiklų katalogo.</w:t>
      </w:r>
    </w:p>
    <w:p w14:paraId="473DE11B" w14:textId="060AEFB8" w:rsidR="00CE519E" w:rsidRPr="00CE519E" w:rsidRDefault="00CE519E" w:rsidP="00CE519E">
      <w:pPr>
        <w:jc w:val="both"/>
        <w:rPr>
          <w:rFonts w:ascii="Arial" w:hAnsi="Arial" w:cs="Arial"/>
          <w:lang w:val="lt-LT"/>
        </w:rPr>
      </w:pPr>
      <w:r w:rsidRPr="00CE519E">
        <w:rPr>
          <w:rFonts w:ascii="Arial" w:hAnsi="Arial" w:cs="Arial"/>
          <w:lang w:val="lt-LT"/>
        </w:rPr>
        <w:t xml:space="preserve">Be to, ši pataisa dar labiau apsunkina </w:t>
      </w:r>
      <w:r>
        <w:rPr>
          <w:rFonts w:ascii="Arial" w:hAnsi="Arial" w:cs="Arial"/>
          <w:lang w:val="lt-LT"/>
        </w:rPr>
        <w:t>BIVP</w:t>
      </w:r>
      <w:r w:rsidRPr="00CE519E">
        <w:rPr>
          <w:rFonts w:ascii="Arial" w:hAnsi="Arial" w:cs="Arial"/>
          <w:lang w:val="lt-LT"/>
        </w:rPr>
        <w:t xml:space="preserve"> ir LEADER tarpusavio santykio supratimą – klausimą, kuris toliau nagrinėjamas šioje analizėje.</w:t>
      </w:r>
    </w:p>
    <w:p w14:paraId="2BF1A5B9" w14:textId="77777777" w:rsidR="00CE519E" w:rsidRPr="00CE519E" w:rsidRDefault="00CE519E" w:rsidP="00CE519E">
      <w:pPr>
        <w:jc w:val="both"/>
        <w:rPr>
          <w:rFonts w:ascii="Arial" w:hAnsi="Arial" w:cs="Arial"/>
          <w:lang w:val="lt-LT"/>
        </w:rPr>
      </w:pPr>
      <w:r w:rsidRPr="00CE519E">
        <w:rPr>
          <w:rFonts w:ascii="Arial" w:hAnsi="Arial" w:cs="Arial"/>
          <w:lang w:val="lt-LT"/>
        </w:rPr>
        <w:t>Todėl ši nuostata turėtų būti toliau tobulinama teisėkūros procese.</w:t>
      </w:r>
    </w:p>
    <w:p w14:paraId="706F66AC"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23. Kitaip vertintina 435 pataisa Fondą nustatančio reglamento projektui.</w:t>
      </w:r>
    </w:p>
    <w:p w14:paraId="7CC2C4B9" w14:textId="17045AFF" w:rsidR="00CE519E" w:rsidRPr="00CE519E" w:rsidRDefault="00CE519E" w:rsidP="00CE519E">
      <w:pPr>
        <w:jc w:val="both"/>
        <w:rPr>
          <w:rFonts w:ascii="Arial" w:hAnsi="Arial" w:cs="Arial"/>
          <w:lang w:val="lt-LT"/>
        </w:rPr>
      </w:pPr>
      <w:r w:rsidRPr="00CE519E">
        <w:rPr>
          <w:rFonts w:ascii="Arial" w:hAnsi="Arial" w:cs="Arial"/>
          <w:lang w:val="lt-LT"/>
        </w:rPr>
        <w:t xml:space="preserve">Ši pataisa numato į jau esamą teritorijų, į kurias turi būti orientuota </w:t>
      </w:r>
      <w:r>
        <w:rPr>
          <w:rFonts w:ascii="Arial" w:hAnsi="Arial" w:cs="Arial"/>
          <w:lang w:val="lt-LT"/>
        </w:rPr>
        <w:t>BIVP</w:t>
      </w:r>
      <w:r w:rsidRPr="00CE519E">
        <w:rPr>
          <w:rFonts w:ascii="Arial" w:hAnsi="Arial" w:cs="Arial"/>
          <w:lang w:val="lt-LT"/>
        </w:rPr>
        <w:t xml:space="preserve"> priemonė, sąrašą įtraukti ir miestų teritorijas.</w:t>
      </w:r>
    </w:p>
    <w:p w14:paraId="5701F14E" w14:textId="7B0ECBDC" w:rsidR="00CE519E" w:rsidRPr="00CE519E" w:rsidRDefault="00CE519E" w:rsidP="00CE519E">
      <w:pPr>
        <w:jc w:val="both"/>
        <w:rPr>
          <w:rFonts w:ascii="Arial" w:hAnsi="Arial" w:cs="Arial"/>
          <w:lang w:val="lt-LT"/>
        </w:rPr>
      </w:pPr>
      <w:r w:rsidRPr="00CE519E">
        <w:rPr>
          <w:rFonts w:ascii="Arial" w:hAnsi="Arial" w:cs="Arial"/>
          <w:lang w:val="lt-LT"/>
        </w:rPr>
        <w:t xml:space="preserve">Nors šios pataisos tikslas gali būti pagrįstas – sudaryti galimybę </w:t>
      </w:r>
      <w:r>
        <w:rPr>
          <w:rFonts w:ascii="Arial" w:hAnsi="Arial" w:cs="Arial"/>
          <w:lang w:val="lt-LT"/>
        </w:rPr>
        <w:t>BIVP</w:t>
      </w:r>
      <w:r w:rsidRPr="00CE519E">
        <w:rPr>
          <w:rFonts w:ascii="Arial" w:hAnsi="Arial" w:cs="Arial"/>
          <w:lang w:val="lt-LT"/>
        </w:rPr>
        <w:t xml:space="preserve"> naudotis ir kitų fondų lėšomis – sunku išvengti išvados, kad dabar ši priemonė projektuojama praktiškai visų tipų teritorijoms, o tai kelia abejonių dėl jos paskirties ir tikslų.</w:t>
      </w:r>
    </w:p>
    <w:p w14:paraId="0093202C" w14:textId="77777777" w:rsidR="00CE519E" w:rsidRPr="00CE519E" w:rsidRDefault="00CE519E" w:rsidP="00CE519E">
      <w:pPr>
        <w:jc w:val="both"/>
        <w:rPr>
          <w:rFonts w:ascii="Arial" w:hAnsi="Arial" w:cs="Arial"/>
          <w:lang w:val="lt-LT"/>
        </w:rPr>
      </w:pPr>
      <w:r w:rsidRPr="00CE519E">
        <w:rPr>
          <w:rFonts w:ascii="Arial" w:hAnsi="Arial" w:cs="Arial"/>
          <w:lang w:val="lt-LT"/>
        </w:rPr>
        <w:t>Mano nuomone, 435 pataisos pasekmė bus ne tiek naujos veiklos galimybės VVG, kiek papildoma finansavimo priemonė miestams tenkinti savo poreikius.</w:t>
      </w:r>
    </w:p>
    <w:p w14:paraId="2745DB81" w14:textId="49960076" w:rsidR="00CE519E" w:rsidRPr="00CE519E" w:rsidRDefault="00CE519E" w:rsidP="00CE519E">
      <w:pPr>
        <w:jc w:val="both"/>
        <w:rPr>
          <w:rFonts w:ascii="Arial" w:hAnsi="Arial" w:cs="Arial"/>
          <w:lang w:val="lt-LT"/>
        </w:rPr>
      </w:pPr>
      <w:r w:rsidRPr="00CE519E">
        <w:rPr>
          <w:rFonts w:ascii="Arial" w:hAnsi="Arial" w:cs="Arial"/>
          <w:lang w:val="lt-LT"/>
        </w:rPr>
        <w:t xml:space="preserve">Tuo tarpu pati </w:t>
      </w:r>
      <w:r>
        <w:rPr>
          <w:rFonts w:ascii="Arial" w:hAnsi="Arial" w:cs="Arial"/>
          <w:lang w:val="lt-LT"/>
        </w:rPr>
        <w:t>BIVP</w:t>
      </w:r>
      <w:r w:rsidRPr="00CE519E">
        <w:rPr>
          <w:rFonts w:ascii="Arial" w:hAnsi="Arial" w:cs="Arial"/>
          <w:lang w:val="lt-LT"/>
        </w:rPr>
        <w:t xml:space="preserve"> priemonės „DNR“ nėra pritaikyta didelėms miestų aglomeracijoms, nes ji grindžiama mažomis bendruomenėmis, tarpusavio sąveika ir dalyvaujamuoju požiūriu.</w:t>
      </w:r>
    </w:p>
    <w:p w14:paraId="3E029B16" w14:textId="77777777" w:rsidR="00CE519E" w:rsidRPr="00CE519E" w:rsidRDefault="00CE519E" w:rsidP="00CE519E">
      <w:pPr>
        <w:jc w:val="both"/>
        <w:rPr>
          <w:rFonts w:ascii="Arial" w:hAnsi="Arial" w:cs="Arial"/>
          <w:lang w:val="lt-LT"/>
        </w:rPr>
      </w:pPr>
      <w:r w:rsidRPr="00CE519E">
        <w:rPr>
          <w:rFonts w:ascii="Arial" w:hAnsi="Arial" w:cs="Arial"/>
          <w:lang w:val="lt-LT"/>
        </w:rPr>
        <w:lastRenderedPageBreak/>
        <w:t>Todėl šią pataisą vertinu neigiamai.</w:t>
      </w:r>
    </w:p>
    <w:p w14:paraId="05047B51" w14:textId="04EA3144" w:rsidR="00CE519E" w:rsidRPr="00CE519E" w:rsidRDefault="00CE519E" w:rsidP="00CE519E">
      <w:pPr>
        <w:jc w:val="both"/>
        <w:rPr>
          <w:rFonts w:ascii="Arial" w:hAnsi="Arial" w:cs="Arial"/>
          <w:lang w:val="lt-LT"/>
        </w:rPr>
      </w:pPr>
      <w:r w:rsidRPr="00CE519E">
        <w:rPr>
          <w:rFonts w:ascii="Arial" w:hAnsi="Arial" w:cs="Arial"/>
          <w:lang w:val="lt-LT"/>
        </w:rPr>
        <w:t xml:space="preserve">Mano nuomone, šis pakeitimas susilpnina tiek </w:t>
      </w:r>
      <w:r>
        <w:rPr>
          <w:rFonts w:ascii="Arial" w:hAnsi="Arial" w:cs="Arial"/>
          <w:lang w:val="lt-LT"/>
        </w:rPr>
        <w:t>BIVP</w:t>
      </w:r>
      <w:r w:rsidRPr="00CE519E">
        <w:rPr>
          <w:rFonts w:ascii="Arial" w:hAnsi="Arial" w:cs="Arial"/>
          <w:lang w:val="lt-LT"/>
        </w:rPr>
        <w:t xml:space="preserve"> paskirtį, tiek pagrindinius šios priemonės skiriamuosius bruožus.</w:t>
      </w:r>
    </w:p>
    <w:p w14:paraId="17FB85D4" w14:textId="3ED17B41" w:rsidR="00CE519E" w:rsidRPr="00CE519E" w:rsidRDefault="00CE519E" w:rsidP="00CE519E">
      <w:pPr>
        <w:jc w:val="both"/>
        <w:rPr>
          <w:rFonts w:ascii="Arial" w:hAnsi="Arial" w:cs="Arial"/>
          <w:lang w:val="lt-LT"/>
        </w:rPr>
      </w:pPr>
    </w:p>
    <w:p w14:paraId="2749E0B9"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II.4. </w:t>
      </w:r>
      <w:proofErr w:type="spellStart"/>
      <w:r w:rsidRPr="00CE519E">
        <w:rPr>
          <w:rFonts w:ascii="Arial" w:hAnsi="Arial" w:cs="Arial"/>
          <w:b/>
          <w:bCs/>
          <w:lang w:val="lt-LT"/>
        </w:rPr>
        <w:t>Ring-fencing</w:t>
      </w:r>
      <w:proofErr w:type="spellEnd"/>
      <w:r w:rsidRPr="00CE519E">
        <w:rPr>
          <w:rFonts w:ascii="Arial" w:hAnsi="Arial" w:cs="Arial"/>
          <w:b/>
          <w:bCs/>
          <w:lang w:val="lt-LT"/>
        </w:rPr>
        <w:t xml:space="preserve"> – nustatytos BŽŪP finansavimo dalies užtikrinimas LEADER priemonei</w:t>
      </w:r>
    </w:p>
    <w:p w14:paraId="583ED05A"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24. Pirminėse Fondą nustatančio reglamento ir BŽŪP reglamento projektų redakcijose nebuvo numatytas joks privalomas visos Europos Sąjungos mastu taikomas LEADER finansavimo rodiklis.</w:t>
      </w:r>
    </w:p>
    <w:p w14:paraId="7CCC00E8" w14:textId="77777777" w:rsidR="00CE519E" w:rsidRPr="00CE519E" w:rsidRDefault="00CE519E" w:rsidP="00CE519E">
      <w:pPr>
        <w:jc w:val="both"/>
        <w:rPr>
          <w:rFonts w:ascii="Arial" w:hAnsi="Arial" w:cs="Arial"/>
          <w:lang w:val="lt-LT"/>
        </w:rPr>
      </w:pPr>
      <w:r w:rsidRPr="00CE519E">
        <w:rPr>
          <w:rFonts w:ascii="Arial" w:hAnsi="Arial" w:cs="Arial"/>
          <w:lang w:val="lt-LT"/>
        </w:rPr>
        <w:t>Tai buvo žingsnis atgal, palyginti su dabartiniu programavimo laikotarpiu, kuriame tokios LEADER finansavimo garantijos yra numatytos.</w:t>
      </w:r>
    </w:p>
    <w:p w14:paraId="394BB9EB" w14:textId="77777777" w:rsidR="00CE519E" w:rsidRPr="00CE519E" w:rsidRDefault="00CE519E" w:rsidP="00CE519E">
      <w:pPr>
        <w:jc w:val="both"/>
        <w:rPr>
          <w:rFonts w:ascii="Arial" w:hAnsi="Arial" w:cs="Arial"/>
          <w:lang w:val="lt-LT"/>
        </w:rPr>
      </w:pPr>
      <w:r w:rsidRPr="00CE519E">
        <w:rPr>
          <w:rFonts w:ascii="Arial" w:hAnsi="Arial" w:cs="Arial"/>
          <w:lang w:val="lt-LT"/>
        </w:rPr>
        <w:t>Todėl nenuostabu, kad VVG bendruomenė atkreipė dėmesį į šią problemą ir siekė jai palankesnių teisinių sprendimų.</w:t>
      </w:r>
    </w:p>
    <w:p w14:paraId="29284D1B"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25. Europos Parlamento pasiūlytų pakeitimų analizė leidžia daryti išvadą, kad rengiant pataisas buvo atsižvelgta į VVG interesus.</w:t>
      </w:r>
    </w:p>
    <w:p w14:paraId="0A22CB65"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Visų pirma </w:t>
      </w:r>
      <w:r w:rsidRPr="00CE519E">
        <w:rPr>
          <w:rFonts w:ascii="Arial" w:hAnsi="Arial" w:cs="Arial"/>
          <w:b/>
          <w:bCs/>
          <w:lang w:val="lt-LT"/>
        </w:rPr>
        <w:t>243 pataisa</w:t>
      </w:r>
      <w:r w:rsidRPr="00CE519E">
        <w:rPr>
          <w:rFonts w:ascii="Arial" w:hAnsi="Arial" w:cs="Arial"/>
          <w:lang w:val="lt-LT"/>
        </w:rPr>
        <w:t xml:space="preserve"> Fondą nustatančiam reglamentui numato papildyti šio reglamento 35 straipsnio 4 dalį nauja pastraipa, pagal kurią </w:t>
      </w:r>
      <w:r w:rsidRPr="00CE519E">
        <w:rPr>
          <w:rFonts w:ascii="Arial" w:hAnsi="Arial" w:cs="Arial"/>
          <w:b/>
          <w:bCs/>
          <w:lang w:val="lt-LT"/>
        </w:rPr>
        <w:t>ne mažiau kaip 5 proc.</w:t>
      </w:r>
      <w:r w:rsidRPr="00CE519E">
        <w:rPr>
          <w:rFonts w:ascii="Arial" w:hAnsi="Arial" w:cs="Arial"/>
          <w:lang w:val="lt-LT"/>
        </w:rPr>
        <w:t xml:space="preserve"> visų kaimo plėtrai skirtų lėšų, nurodytų 10 straipsnio 2 dalies a punkto ii papunkčio b papunktyje, turi būti rezervuota LEADER priemonei.</w:t>
      </w:r>
    </w:p>
    <w:p w14:paraId="73E19936"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Tai sudarytų 5 proc. iš </w:t>
      </w:r>
      <w:r w:rsidRPr="00CE519E">
        <w:rPr>
          <w:rFonts w:ascii="Arial" w:hAnsi="Arial" w:cs="Arial"/>
          <w:b/>
          <w:bCs/>
          <w:lang w:val="lt-LT"/>
        </w:rPr>
        <w:t>106 410 000 000 eurų</w:t>
      </w:r>
      <w:r w:rsidRPr="00CE519E">
        <w:rPr>
          <w:rFonts w:ascii="Arial" w:hAnsi="Arial" w:cs="Arial"/>
          <w:lang w:val="lt-LT"/>
        </w:rPr>
        <w:t xml:space="preserve"> sumos (žr. 93 pataisą Fondą nustatančiam reglamentui).</w:t>
      </w:r>
    </w:p>
    <w:p w14:paraId="30BF9D50" w14:textId="77777777" w:rsidR="00CE519E" w:rsidRPr="00CE519E" w:rsidRDefault="00CE519E" w:rsidP="00CE519E">
      <w:pPr>
        <w:jc w:val="both"/>
        <w:rPr>
          <w:rFonts w:ascii="Arial" w:hAnsi="Arial" w:cs="Arial"/>
          <w:lang w:val="lt-LT"/>
        </w:rPr>
      </w:pPr>
      <w:r w:rsidRPr="00CE519E">
        <w:rPr>
          <w:rFonts w:ascii="Arial" w:hAnsi="Arial" w:cs="Arial"/>
          <w:lang w:val="lt-LT"/>
        </w:rPr>
        <w:t>Šis rezervavimas būtų taikomas visos BŽŪP mastu, o ne atskirų valstybių narių ar jų Nacionalinių ir regioninių partnerystės planų lygmeniu.</w:t>
      </w:r>
    </w:p>
    <w:p w14:paraId="4202C0BB"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26. Papildomas LEADER finansavimo rezervavimo patvirtinimas numatytas 116 pataisoje BŽŪP reglamentui.</w:t>
      </w:r>
    </w:p>
    <w:p w14:paraId="7EA8A863" w14:textId="77777777" w:rsidR="00CE519E" w:rsidRPr="00CE519E" w:rsidRDefault="00CE519E" w:rsidP="00CE519E">
      <w:pPr>
        <w:jc w:val="both"/>
        <w:rPr>
          <w:rFonts w:ascii="Arial" w:hAnsi="Arial" w:cs="Arial"/>
          <w:lang w:val="lt-LT"/>
        </w:rPr>
      </w:pPr>
      <w:r w:rsidRPr="00CE519E">
        <w:rPr>
          <w:rFonts w:ascii="Arial" w:hAnsi="Arial" w:cs="Arial"/>
          <w:lang w:val="lt-LT"/>
        </w:rPr>
        <w:t>Būtent ši nuostata iš esmės „perkelia“ finansavimo rezervavimo principą iš viso Fondo lygmens į atskirų valstybių narių ir jų NRP planų lygmenį, nustatydama 5 proc. ribą.</w:t>
      </w:r>
    </w:p>
    <w:p w14:paraId="2750D1BB" w14:textId="06B6AB5E" w:rsidR="00CE519E" w:rsidRPr="00CE519E" w:rsidRDefault="00CE519E" w:rsidP="00CE519E">
      <w:pPr>
        <w:jc w:val="both"/>
        <w:rPr>
          <w:rFonts w:ascii="Arial" w:hAnsi="Arial" w:cs="Arial"/>
          <w:lang w:val="lt-LT"/>
        </w:rPr>
      </w:pPr>
      <w:r w:rsidRPr="00CE519E">
        <w:rPr>
          <w:rFonts w:ascii="Arial" w:hAnsi="Arial" w:cs="Arial"/>
          <w:lang w:val="lt-LT"/>
        </w:rPr>
        <w:t>Deja, šiame etape negali</w:t>
      </w:r>
      <w:r>
        <w:rPr>
          <w:rFonts w:ascii="Arial" w:hAnsi="Arial" w:cs="Arial"/>
          <w:lang w:val="lt-LT"/>
        </w:rPr>
        <w:t>ma</w:t>
      </w:r>
      <w:r w:rsidRPr="00CE519E">
        <w:rPr>
          <w:rFonts w:ascii="Arial" w:hAnsi="Arial" w:cs="Arial"/>
          <w:lang w:val="lt-LT"/>
        </w:rPr>
        <w:t xml:space="preserve"> tiksliai nustatyti, nuo kokios sumos turi būti skaičiuojami šie 5 proc., nes projekto nuostatoje pateikta netiksli kryžminė nuoroda.</w:t>
      </w:r>
    </w:p>
    <w:p w14:paraId="628ABED6" w14:textId="77777777" w:rsidR="00CE519E" w:rsidRPr="00CE519E" w:rsidRDefault="00CE519E" w:rsidP="00CE519E">
      <w:pPr>
        <w:jc w:val="both"/>
        <w:rPr>
          <w:rFonts w:ascii="Arial" w:hAnsi="Arial" w:cs="Arial"/>
          <w:lang w:val="lt-LT"/>
        </w:rPr>
      </w:pPr>
      <w:r w:rsidRPr="00CE519E">
        <w:rPr>
          <w:rFonts w:ascii="Arial" w:hAnsi="Arial" w:cs="Arial"/>
          <w:lang w:val="lt-LT"/>
        </w:rPr>
        <w:t>Reikia paaiškinti, ar 116 pataisos tikslas yra užtikrinti, kad kiekviename NRP plane bent 5 proc. kaimo plėtrai skirtų lėšų būtų skiriama LEADER priemonei, ar buvo numatytas kitoks mechanizmas.</w:t>
      </w:r>
    </w:p>
    <w:p w14:paraId="7FC7F1A7" w14:textId="77777777" w:rsidR="00CE519E" w:rsidRPr="00CE519E" w:rsidRDefault="00CE519E" w:rsidP="00CE519E">
      <w:pPr>
        <w:jc w:val="both"/>
        <w:rPr>
          <w:rFonts w:ascii="Arial" w:hAnsi="Arial" w:cs="Arial"/>
          <w:lang w:val="lt-LT"/>
        </w:rPr>
      </w:pPr>
      <w:r w:rsidRPr="00CE519E">
        <w:rPr>
          <w:rFonts w:ascii="Arial" w:hAnsi="Arial" w:cs="Arial"/>
          <w:lang w:val="lt-LT"/>
        </w:rPr>
        <w:t>Reikia prisiminti, kad jei kiekviena valstybė narė neprivalėtų savo NRP plane taikyti šio procento, vien tik Fondo lygmeniu nustatyta finansavimo garantija iš esmės būtų tik deklaratyvi.</w:t>
      </w:r>
    </w:p>
    <w:p w14:paraId="348E92AC" w14:textId="77777777" w:rsidR="00CE519E" w:rsidRPr="00CE519E" w:rsidRDefault="00CE519E" w:rsidP="00CE519E">
      <w:pPr>
        <w:jc w:val="both"/>
        <w:rPr>
          <w:rFonts w:ascii="Arial" w:hAnsi="Arial" w:cs="Arial"/>
          <w:lang w:val="lt-LT"/>
        </w:rPr>
      </w:pPr>
      <w:r w:rsidRPr="00CE519E">
        <w:rPr>
          <w:rFonts w:ascii="Arial" w:hAnsi="Arial" w:cs="Arial"/>
          <w:lang w:val="lt-LT"/>
        </w:rPr>
        <w:lastRenderedPageBreak/>
        <w:t>Todėl, nepaisant teigiamos siūlomų pakeitimų krypties, VVG turėtų atidžiai stebėti tolesnę šios nuostatos raidą bei visas su ja tiesiogiai susijusias pataisas, ypač tas, kurios nustatys finansines sumas, kurioms bus taikomas 5 proc. reikalavimas.</w:t>
      </w:r>
    </w:p>
    <w:p w14:paraId="5C9DA5D4" w14:textId="73592AF2" w:rsidR="00CE519E" w:rsidRPr="00CE519E" w:rsidRDefault="00CE519E" w:rsidP="00CE519E">
      <w:pPr>
        <w:jc w:val="both"/>
        <w:rPr>
          <w:rFonts w:ascii="Arial" w:hAnsi="Arial" w:cs="Arial"/>
          <w:lang w:val="lt-LT"/>
        </w:rPr>
      </w:pPr>
    </w:p>
    <w:p w14:paraId="26EF8B96" w14:textId="2880CC70"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II.5. Neaiškumų dėl </w:t>
      </w:r>
      <w:r>
        <w:rPr>
          <w:rFonts w:ascii="Arial" w:hAnsi="Arial" w:cs="Arial"/>
          <w:b/>
          <w:bCs/>
          <w:lang w:val="lt-LT"/>
        </w:rPr>
        <w:t>BIVP</w:t>
      </w:r>
      <w:r w:rsidRPr="00CE519E">
        <w:rPr>
          <w:rFonts w:ascii="Arial" w:hAnsi="Arial" w:cs="Arial"/>
          <w:b/>
          <w:bCs/>
          <w:lang w:val="lt-LT"/>
        </w:rPr>
        <w:t xml:space="preserve"> ir LEADER priemonių tarpusavio santykio pašalinimas</w:t>
      </w:r>
    </w:p>
    <w:p w14:paraId="4ECABD9A" w14:textId="6FD8B34D"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27. Pirminiai Europos Komisijos pasiūlymai neleido vienareikšmiškai nustatyti, ar LEADER yra tik istoriškai BŽŪP sistemoje išlikęs </w:t>
      </w:r>
      <w:r>
        <w:rPr>
          <w:rFonts w:ascii="Arial" w:hAnsi="Arial" w:cs="Arial"/>
          <w:b/>
          <w:bCs/>
          <w:lang w:val="lt-LT"/>
        </w:rPr>
        <w:t>BIVP</w:t>
      </w:r>
      <w:r w:rsidRPr="00CE519E">
        <w:rPr>
          <w:rFonts w:ascii="Arial" w:hAnsi="Arial" w:cs="Arial"/>
          <w:b/>
          <w:bCs/>
          <w:lang w:val="lt-LT"/>
        </w:rPr>
        <w:t xml:space="preserve"> pavadinimas, ar visiškai atskira, kaimo vietovėms skirta priemonė.</w:t>
      </w:r>
    </w:p>
    <w:p w14:paraId="52D89B0E" w14:textId="77777777" w:rsidR="00CE519E" w:rsidRPr="00CE519E" w:rsidRDefault="00CE519E" w:rsidP="00CE519E">
      <w:pPr>
        <w:jc w:val="both"/>
        <w:rPr>
          <w:rFonts w:ascii="Arial" w:hAnsi="Arial" w:cs="Arial"/>
          <w:lang w:val="lt-LT"/>
        </w:rPr>
      </w:pPr>
      <w:r w:rsidRPr="00CE519E">
        <w:rPr>
          <w:rFonts w:ascii="Arial" w:hAnsi="Arial" w:cs="Arial"/>
          <w:lang w:val="lt-LT"/>
        </w:rPr>
        <w:t>Siūlomose nuostatose nebeliko Reglamento (ES) 2021/1060 30 konstatuojamosios dalies ir Reglamento (ES) 2021/2115 3 straipsnio 15 punkto atitikmenų, kurie anksčiau aiškiai patvirtino pirmąjį aiškinimą.</w:t>
      </w:r>
    </w:p>
    <w:p w14:paraId="5AC14752" w14:textId="722138F4"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28. Pirminiame Fondą nustatančio reglamento projekte Komisija atsisakė tradicinio LEADER ir </w:t>
      </w:r>
      <w:r>
        <w:rPr>
          <w:rFonts w:ascii="Arial" w:hAnsi="Arial" w:cs="Arial"/>
          <w:b/>
          <w:bCs/>
          <w:lang w:val="lt-LT"/>
        </w:rPr>
        <w:t>BIVP</w:t>
      </w:r>
      <w:r w:rsidRPr="00CE519E">
        <w:rPr>
          <w:rFonts w:ascii="Arial" w:hAnsi="Arial" w:cs="Arial"/>
          <w:b/>
          <w:bCs/>
          <w:lang w:val="lt-LT"/>
        </w:rPr>
        <w:t xml:space="preserve"> tapatumo, padalydama šią sistemą į du visiškai atskirus straipsnius:</w:t>
      </w:r>
    </w:p>
    <w:p w14:paraId="43D9E975" w14:textId="4071AA02" w:rsidR="00CE519E" w:rsidRPr="00CE519E" w:rsidRDefault="00CE519E" w:rsidP="00CE519E">
      <w:pPr>
        <w:numPr>
          <w:ilvl w:val="0"/>
          <w:numId w:val="5"/>
        </w:numPr>
        <w:jc w:val="both"/>
        <w:rPr>
          <w:rFonts w:ascii="Arial" w:hAnsi="Arial" w:cs="Arial"/>
          <w:lang w:val="lt-LT"/>
        </w:rPr>
      </w:pPr>
      <w:r w:rsidRPr="00CE519E">
        <w:rPr>
          <w:rFonts w:ascii="Arial" w:hAnsi="Arial" w:cs="Arial"/>
          <w:b/>
          <w:bCs/>
          <w:lang w:val="lt-LT"/>
        </w:rPr>
        <w:t>76 straipsnį</w:t>
      </w:r>
      <w:r w:rsidRPr="00CE519E">
        <w:rPr>
          <w:rFonts w:ascii="Arial" w:hAnsi="Arial" w:cs="Arial"/>
          <w:lang w:val="lt-LT"/>
        </w:rPr>
        <w:t>, reglamentuojantį bendrąją Bendruomenės inicijuotos vietos plėtros (</w:t>
      </w:r>
      <w:r>
        <w:rPr>
          <w:rFonts w:ascii="Arial" w:hAnsi="Arial" w:cs="Arial"/>
          <w:lang w:val="lt-LT"/>
        </w:rPr>
        <w:t>BIVP</w:t>
      </w:r>
      <w:r w:rsidRPr="00CE519E">
        <w:rPr>
          <w:rFonts w:ascii="Arial" w:hAnsi="Arial" w:cs="Arial"/>
          <w:lang w:val="lt-LT"/>
        </w:rPr>
        <w:t>) priemonę;</w:t>
      </w:r>
    </w:p>
    <w:p w14:paraId="19DE1116" w14:textId="77777777" w:rsidR="00CE519E" w:rsidRPr="00CE519E" w:rsidRDefault="00CE519E" w:rsidP="00CE519E">
      <w:pPr>
        <w:numPr>
          <w:ilvl w:val="0"/>
          <w:numId w:val="5"/>
        </w:numPr>
        <w:jc w:val="both"/>
        <w:rPr>
          <w:rFonts w:ascii="Arial" w:hAnsi="Arial" w:cs="Arial"/>
          <w:lang w:val="lt-LT"/>
        </w:rPr>
      </w:pPr>
      <w:r w:rsidRPr="00CE519E">
        <w:rPr>
          <w:rFonts w:ascii="Arial" w:hAnsi="Arial" w:cs="Arial"/>
          <w:b/>
          <w:bCs/>
          <w:lang w:val="lt-LT"/>
        </w:rPr>
        <w:t>77 straipsnį</w:t>
      </w:r>
      <w:r w:rsidRPr="00CE519E">
        <w:rPr>
          <w:rFonts w:ascii="Arial" w:hAnsi="Arial" w:cs="Arial"/>
          <w:lang w:val="lt-LT"/>
        </w:rPr>
        <w:t>, skirtą tik paramai pagal LEADER programą.</w:t>
      </w:r>
    </w:p>
    <w:p w14:paraId="77423BD3"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29. Nepaisant ELARD pateiktų pastabų, Europos Parlamento siūlomos pataisos šios problemos neišsprendžia.</w:t>
      </w:r>
    </w:p>
    <w:p w14:paraId="16F8D1B1" w14:textId="3CB54FB1"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II.5. Neaiškumų dėl </w:t>
      </w:r>
      <w:r>
        <w:rPr>
          <w:rFonts w:ascii="Arial" w:hAnsi="Arial" w:cs="Arial"/>
          <w:b/>
          <w:bCs/>
          <w:lang w:val="lt-LT"/>
        </w:rPr>
        <w:t>BIVP</w:t>
      </w:r>
      <w:r w:rsidRPr="00CE519E">
        <w:rPr>
          <w:rFonts w:ascii="Arial" w:hAnsi="Arial" w:cs="Arial"/>
          <w:b/>
          <w:bCs/>
          <w:lang w:val="lt-LT"/>
        </w:rPr>
        <w:t xml:space="preserve"> ir LEADER priemonių tarpusavio santykio pašalinimas (tęsinys)</w:t>
      </w:r>
    </w:p>
    <w:p w14:paraId="62913ED4"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29. Nepaisant ELARD pateiktų pastabų, Europos Parlamento siūlomos pataisos šios problemos neišsprendžia.</w:t>
      </w:r>
    </w:p>
    <w:p w14:paraId="79242873"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Jos neišsprendžia ir anksčiau aptarta </w:t>
      </w:r>
      <w:r w:rsidRPr="00CE519E">
        <w:rPr>
          <w:rFonts w:ascii="Arial" w:hAnsi="Arial" w:cs="Arial"/>
          <w:b/>
          <w:bCs/>
          <w:lang w:val="lt-LT"/>
        </w:rPr>
        <w:t>436 pataisa</w:t>
      </w:r>
      <w:r w:rsidRPr="00CE519E">
        <w:rPr>
          <w:rFonts w:ascii="Arial" w:hAnsi="Arial" w:cs="Arial"/>
          <w:lang w:val="lt-LT"/>
        </w:rPr>
        <w:t xml:space="preserve"> Fondą nustatančiam reglamentui, kuria numatyta, kad LEADER įgyvendinančios vietos veiklos grupės gali naudotis šio reglamento 76 straipsnyje numatyta parama.</w:t>
      </w:r>
    </w:p>
    <w:p w14:paraId="7B30B105" w14:textId="3E0427E0" w:rsidR="00CE519E" w:rsidRPr="00CE519E" w:rsidRDefault="00CE519E" w:rsidP="00CE519E">
      <w:pPr>
        <w:jc w:val="both"/>
        <w:rPr>
          <w:rFonts w:ascii="Arial" w:hAnsi="Arial" w:cs="Arial"/>
          <w:lang w:val="lt-LT"/>
        </w:rPr>
      </w:pPr>
      <w:r w:rsidRPr="00CE519E">
        <w:rPr>
          <w:rFonts w:ascii="Arial" w:hAnsi="Arial" w:cs="Arial"/>
          <w:lang w:val="lt-LT"/>
        </w:rPr>
        <w:t xml:space="preserve">Priešingai – pačios pataisos formuluotė leidžia manyti, kad LEADER yra atskira nuo </w:t>
      </w:r>
      <w:r>
        <w:rPr>
          <w:rFonts w:ascii="Arial" w:hAnsi="Arial" w:cs="Arial"/>
          <w:lang w:val="lt-LT"/>
        </w:rPr>
        <w:t>BIVP</w:t>
      </w:r>
      <w:r w:rsidRPr="00CE519E">
        <w:rPr>
          <w:rFonts w:ascii="Arial" w:hAnsi="Arial" w:cs="Arial"/>
          <w:lang w:val="lt-LT"/>
        </w:rPr>
        <w:t xml:space="preserve"> priemonė, o galimybė naudotis </w:t>
      </w:r>
      <w:r>
        <w:rPr>
          <w:rFonts w:ascii="Arial" w:hAnsi="Arial" w:cs="Arial"/>
          <w:lang w:val="lt-LT"/>
        </w:rPr>
        <w:t>BIVP</w:t>
      </w:r>
      <w:r w:rsidRPr="00CE519E">
        <w:rPr>
          <w:rFonts w:ascii="Arial" w:hAnsi="Arial" w:cs="Arial"/>
          <w:lang w:val="lt-LT"/>
        </w:rPr>
        <w:t xml:space="preserve"> numatytomis galimybėmis LEADER suteikiama tik kaip išimtis.</w:t>
      </w:r>
    </w:p>
    <w:p w14:paraId="160406BA" w14:textId="398B5188" w:rsidR="00CE519E" w:rsidRPr="00CE519E" w:rsidRDefault="00CE519E" w:rsidP="00CE519E">
      <w:pPr>
        <w:jc w:val="both"/>
        <w:rPr>
          <w:rFonts w:ascii="Arial" w:hAnsi="Arial" w:cs="Arial"/>
          <w:lang w:val="lt-LT"/>
        </w:rPr>
      </w:pPr>
      <w:r w:rsidRPr="00CE519E">
        <w:rPr>
          <w:rFonts w:ascii="Arial" w:hAnsi="Arial" w:cs="Arial"/>
          <w:lang w:val="lt-LT"/>
        </w:rPr>
        <w:t xml:space="preserve">Panašiai ir </w:t>
      </w:r>
      <w:r w:rsidRPr="00CE519E">
        <w:rPr>
          <w:rFonts w:ascii="Arial" w:hAnsi="Arial" w:cs="Arial"/>
          <w:b/>
          <w:bCs/>
          <w:lang w:val="lt-LT"/>
        </w:rPr>
        <w:t>160 bei 166 pataisos</w:t>
      </w:r>
      <w:r w:rsidRPr="00CE519E">
        <w:rPr>
          <w:rFonts w:ascii="Arial" w:hAnsi="Arial" w:cs="Arial"/>
          <w:lang w:val="lt-LT"/>
        </w:rPr>
        <w:t xml:space="preserve">, susijusios su Fondą nustatančio reglamento 22 straipsnio 2 dalies b punktu, išlaiko tą patį teisėkūros modelį, kuriame LEADER ir </w:t>
      </w:r>
      <w:r>
        <w:rPr>
          <w:rFonts w:ascii="Arial" w:hAnsi="Arial" w:cs="Arial"/>
          <w:lang w:val="lt-LT"/>
        </w:rPr>
        <w:t>BIVP</w:t>
      </w:r>
      <w:r w:rsidRPr="00CE519E">
        <w:rPr>
          <w:rFonts w:ascii="Arial" w:hAnsi="Arial" w:cs="Arial"/>
          <w:lang w:val="lt-LT"/>
        </w:rPr>
        <w:t xml:space="preserve"> minimos greta kaip du skirtingi teritorinės plėtros instrumentai.</w:t>
      </w:r>
    </w:p>
    <w:p w14:paraId="3382D56D"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30. Pats faktas, kad LEADER Fondą nustatančiame reglamente reglamentuojamas atskiru straipsniu, o ne paliekamas tik BŽŪP reglamente, sisteminiu požiūriu leidžia </w:t>
      </w:r>
      <w:r w:rsidRPr="00CE519E">
        <w:rPr>
          <w:rFonts w:ascii="Arial" w:hAnsi="Arial" w:cs="Arial"/>
          <w:b/>
          <w:bCs/>
          <w:lang w:val="lt-LT"/>
        </w:rPr>
        <w:lastRenderedPageBreak/>
        <w:t>manyti, kad tai dvi atskiros ir tarpusavyje konkuruojančios priemonės, o ne tapačios sąvokos.</w:t>
      </w:r>
    </w:p>
    <w:p w14:paraId="3D4297DB" w14:textId="5E50BC97" w:rsidR="00CE519E" w:rsidRPr="00CE519E" w:rsidRDefault="00CE519E" w:rsidP="00CE519E">
      <w:pPr>
        <w:jc w:val="both"/>
        <w:rPr>
          <w:rFonts w:ascii="Arial" w:hAnsi="Arial" w:cs="Arial"/>
          <w:lang w:val="lt-LT"/>
        </w:rPr>
      </w:pPr>
      <w:r w:rsidRPr="00CE519E">
        <w:rPr>
          <w:rFonts w:ascii="Arial" w:hAnsi="Arial" w:cs="Arial"/>
          <w:lang w:val="lt-LT"/>
        </w:rPr>
        <w:t xml:space="preserve">Dar svarbiau tai, kad net ir Europos Parlamento siūlomoje redakcijoje </w:t>
      </w:r>
      <w:r w:rsidRPr="00CE519E">
        <w:rPr>
          <w:rFonts w:ascii="Arial" w:hAnsi="Arial" w:cs="Arial"/>
          <w:b/>
          <w:bCs/>
          <w:lang w:val="lt-LT"/>
        </w:rPr>
        <w:t>77 straipsnis</w:t>
      </w:r>
      <w:r w:rsidRPr="00CE519E">
        <w:rPr>
          <w:rFonts w:ascii="Arial" w:hAnsi="Arial" w:cs="Arial"/>
          <w:lang w:val="lt-LT"/>
        </w:rPr>
        <w:t xml:space="preserve"> LEADER priemonei ir toliau nustato labai specifinius įgyvendinimo mechanizmus (pavyzdžiui, supaprastintus išlaidų apskaičiavimo būdus VVG bei vienkartines išmokas mažiems projektams), kurie nėra taikomi </w:t>
      </w:r>
      <w:r>
        <w:rPr>
          <w:rFonts w:ascii="Arial" w:hAnsi="Arial" w:cs="Arial"/>
          <w:lang w:val="lt-LT"/>
        </w:rPr>
        <w:t>BIVP</w:t>
      </w:r>
      <w:r w:rsidRPr="00CE519E">
        <w:rPr>
          <w:rFonts w:ascii="Arial" w:hAnsi="Arial" w:cs="Arial"/>
          <w:lang w:val="lt-LT"/>
        </w:rPr>
        <w:t xml:space="preserve"> apskritai.</w:t>
      </w:r>
    </w:p>
    <w:p w14:paraId="3EC87D8E" w14:textId="77777777" w:rsidR="00CE519E" w:rsidRPr="00CE519E" w:rsidRDefault="00CE519E" w:rsidP="00CE519E">
      <w:pPr>
        <w:jc w:val="both"/>
        <w:rPr>
          <w:rFonts w:ascii="Arial" w:hAnsi="Arial" w:cs="Arial"/>
          <w:lang w:val="lt-LT"/>
        </w:rPr>
      </w:pPr>
      <w:r w:rsidRPr="00CE519E">
        <w:rPr>
          <w:rFonts w:ascii="Arial" w:hAnsi="Arial" w:cs="Arial"/>
          <w:lang w:val="lt-LT"/>
        </w:rPr>
        <w:t>Todėl reikia daryti išvadą, kad Europos Parlamento pataisos ELARD iškeltos problemos neišsprendžia.</w:t>
      </w:r>
    </w:p>
    <w:p w14:paraId="2C8597FD"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31. Tačiau verta pažymėti, kad šį klausimą gerokai sėkmingiau išsprendė Europos Sąjungos Taryba savo paskelbtame Bendrajame požiūryje (10559/26).</w:t>
      </w:r>
    </w:p>
    <w:p w14:paraId="1C2491DD" w14:textId="77777777" w:rsidR="00CE519E" w:rsidRPr="00CE519E" w:rsidRDefault="00CE519E" w:rsidP="00CE519E">
      <w:pPr>
        <w:jc w:val="both"/>
        <w:rPr>
          <w:rFonts w:ascii="Arial" w:hAnsi="Arial" w:cs="Arial"/>
          <w:lang w:val="lt-LT"/>
        </w:rPr>
      </w:pPr>
      <w:r w:rsidRPr="00CE519E">
        <w:rPr>
          <w:rFonts w:ascii="Arial" w:hAnsi="Arial" w:cs="Arial"/>
          <w:lang w:val="lt-LT"/>
        </w:rPr>
        <w:t>Taryba pakeitė 76 straipsnio 1 dalies formuluotę, aiškiai papildydama ją žodžiais:</w:t>
      </w:r>
    </w:p>
    <w:p w14:paraId="41FC93AB" w14:textId="298F92BB" w:rsidR="00CE519E" w:rsidRPr="00CE519E" w:rsidRDefault="00CE519E" w:rsidP="00CE519E">
      <w:pPr>
        <w:jc w:val="both"/>
        <w:rPr>
          <w:rFonts w:ascii="Arial" w:hAnsi="Arial" w:cs="Arial"/>
          <w:lang w:val="lt-LT"/>
        </w:rPr>
      </w:pPr>
      <w:r w:rsidRPr="00CE519E">
        <w:rPr>
          <w:rFonts w:ascii="Arial" w:hAnsi="Arial" w:cs="Arial"/>
          <w:b/>
          <w:bCs/>
          <w:lang w:val="lt-LT"/>
        </w:rPr>
        <w:t>„Bendruomenės inicijuota vietos plėtra (</w:t>
      </w:r>
      <w:r>
        <w:rPr>
          <w:rFonts w:ascii="Arial" w:hAnsi="Arial" w:cs="Arial"/>
          <w:b/>
          <w:bCs/>
          <w:lang w:val="lt-LT"/>
        </w:rPr>
        <w:t>BIVP</w:t>
      </w:r>
      <w:r w:rsidRPr="00CE519E">
        <w:rPr>
          <w:rFonts w:ascii="Arial" w:hAnsi="Arial" w:cs="Arial"/>
          <w:b/>
          <w:bCs/>
          <w:lang w:val="lt-LT"/>
        </w:rPr>
        <w:t>), įskaitant LEADER, …“</w:t>
      </w:r>
    </w:p>
    <w:p w14:paraId="11B9CC6F" w14:textId="1703353A" w:rsidR="00CE519E" w:rsidRPr="00CE519E" w:rsidRDefault="00CE519E" w:rsidP="00CE519E">
      <w:pPr>
        <w:jc w:val="both"/>
        <w:rPr>
          <w:rFonts w:ascii="Arial" w:hAnsi="Arial" w:cs="Arial"/>
          <w:lang w:val="lt-LT"/>
        </w:rPr>
      </w:pPr>
      <w:r w:rsidRPr="00CE519E">
        <w:rPr>
          <w:rFonts w:ascii="Arial" w:hAnsi="Arial" w:cs="Arial"/>
          <w:lang w:val="lt-LT"/>
        </w:rPr>
        <w:t xml:space="preserve">Tai yra tiesioginis ir formalus patvirtinimas, kad LEADER yra </w:t>
      </w:r>
      <w:r>
        <w:rPr>
          <w:rFonts w:ascii="Arial" w:hAnsi="Arial" w:cs="Arial"/>
          <w:lang w:val="lt-LT"/>
        </w:rPr>
        <w:t>BIVP</w:t>
      </w:r>
      <w:r w:rsidRPr="00CE519E">
        <w:rPr>
          <w:rFonts w:ascii="Arial" w:hAnsi="Arial" w:cs="Arial"/>
          <w:lang w:val="lt-LT"/>
        </w:rPr>
        <w:t xml:space="preserve"> dalis.</w:t>
      </w:r>
    </w:p>
    <w:p w14:paraId="1FE4727A" w14:textId="77777777" w:rsidR="00CE519E" w:rsidRPr="00CE519E" w:rsidRDefault="00CE519E" w:rsidP="00CE519E">
      <w:pPr>
        <w:jc w:val="both"/>
        <w:rPr>
          <w:rFonts w:ascii="Arial" w:hAnsi="Arial" w:cs="Arial"/>
          <w:lang w:val="lt-LT"/>
        </w:rPr>
      </w:pPr>
      <w:r w:rsidRPr="00CE519E">
        <w:rPr>
          <w:rFonts w:ascii="Arial" w:hAnsi="Arial" w:cs="Arial"/>
          <w:lang w:val="lt-LT"/>
        </w:rPr>
        <w:t>Taip suformulavus 76 straipsnį, net ir anksčiau minėta 436 pataisa įgauna kitą prasmę – tokią, kuri atitinka ELARD poziciją ir siekius.</w:t>
      </w:r>
    </w:p>
    <w:p w14:paraId="1A0875FC" w14:textId="4EC4EA31" w:rsidR="00CE519E" w:rsidRPr="00CE519E" w:rsidRDefault="00CE519E" w:rsidP="00CE519E">
      <w:pPr>
        <w:jc w:val="both"/>
        <w:rPr>
          <w:rFonts w:ascii="Arial" w:hAnsi="Arial" w:cs="Arial"/>
          <w:lang w:val="lt-LT"/>
        </w:rPr>
      </w:pPr>
    </w:p>
    <w:p w14:paraId="51A2F8D9"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II.6. Vienodų sprendimų, supaprastinančių LEADER veiklų finansavimą, įgyvendinimas, kad jie būtų taikomi ir toms VVG, kurios vietos plėtros strategijas įgyvendina ne tik pagal BŽŪP</w:t>
      </w:r>
    </w:p>
    <w:p w14:paraId="74316E6D"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32. II.5 skyriuje aptartas klausimas taip pat susijęs su tuo, kad Fondą nustatančio reglamento 77 straipsnyje numatyti keli finansiniai mechanizmai (supaprastinti išlaidų apskaičiavimo būdai ir vienkartinės išmokos), kurie būtų taikomi tik LEADER priemonei.</w:t>
      </w:r>
    </w:p>
    <w:p w14:paraId="27664462"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33. Net jeigu būtų daroma prielaida, kad „kaimo“ VVG galėtų naudotis ir iš kitų fondų finansuojama parama, dabartinė 77 straipsnio redakcija apsunkintų vietos plėtros strategijų, apimančių platesnę nei vien BŽŪP sritį, įgyvendinimą.</w:t>
      </w:r>
    </w:p>
    <w:p w14:paraId="195A35F3" w14:textId="77777777" w:rsidR="00CE519E" w:rsidRPr="00CE519E" w:rsidRDefault="00CE519E" w:rsidP="00CE519E">
      <w:pPr>
        <w:jc w:val="both"/>
        <w:rPr>
          <w:rFonts w:ascii="Arial" w:hAnsi="Arial" w:cs="Arial"/>
          <w:lang w:val="lt-LT"/>
        </w:rPr>
      </w:pPr>
      <w:r w:rsidRPr="00CE519E">
        <w:rPr>
          <w:rFonts w:ascii="Arial" w:hAnsi="Arial" w:cs="Arial"/>
          <w:lang w:val="lt-LT"/>
        </w:rPr>
        <w:t>VVG tektų administracinė našta taikant skirtingas taisykles panašaus pobūdžio projektams.</w:t>
      </w:r>
    </w:p>
    <w:p w14:paraId="34D476A8" w14:textId="77777777" w:rsidR="00CE519E" w:rsidRPr="00CE519E" w:rsidRDefault="00CE519E" w:rsidP="00CE519E">
      <w:pPr>
        <w:jc w:val="both"/>
        <w:rPr>
          <w:rFonts w:ascii="Arial" w:hAnsi="Arial" w:cs="Arial"/>
          <w:lang w:val="lt-LT"/>
        </w:rPr>
      </w:pPr>
      <w:r w:rsidRPr="00CE519E">
        <w:rPr>
          <w:rFonts w:ascii="Arial" w:hAnsi="Arial" w:cs="Arial"/>
          <w:lang w:val="lt-LT"/>
        </w:rPr>
        <w:t>Toks sprendimas akivaizdžiai prieštarauja tiek Europos Komisijos, tiek Europos Parlamento nuolat deklaruojamam tikslui suderinti ir supaprastinti paramos administravimo taisykles.</w:t>
      </w:r>
    </w:p>
    <w:p w14:paraId="55D8DA87"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34. Deja, nepaisant ELARD pateiktų pasiūlymų, nei Europos Parlamento pataisos, nei Europos Sąjungos Tarybos priimtas Bendrasis požiūris (10559/26) šiuo klausimu jokių pakeitimų nenumato.</w:t>
      </w:r>
    </w:p>
    <w:p w14:paraId="7B446287" w14:textId="1C055F45" w:rsidR="00CE519E" w:rsidRPr="00CE519E" w:rsidRDefault="00CE519E" w:rsidP="00CE519E">
      <w:pPr>
        <w:jc w:val="both"/>
        <w:rPr>
          <w:rFonts w:ascii="Arial" w:hAnsi="Arial" w:cs="Arial"/>
          <w:lang w:val="lt-LT"/>
        </w:rPr>
      </w:pPr>
      <w:r w:rsidRPr="00CE519E">
        <w:rPr>
          <w:rFonts w:ascii="Arial" w:hAnsi="Arial" w:cs="Arial"/>
          <w:lang w:val="lt-LT"/>
        </w:rPr>
        <w:t xml:space="preserve">Nebuvo nustatytas bendras principas, kad 77 straipsnio nuostatos būtų taikomos visai </w:t>
      </w:r>
      <w:r>
        <w:rPr>
          <w:rFonts w:ascii="Arial" w:hAnsi="Arial" w:cs="Arial"/>
          <w:lang w:val="lt-LT"/>
        </w:rPr>
        <w:t>BIVP</w:t>
      </w:r>
      <w:r w:rsidRPr="00CE519E">
        <w:rPr>
          <w:rFonts w:ascii="Arial" w:hAnsi="Arial" w:cs="Arial"/>
          <w:lang w:val="lt-LT"/>
        </w:rPr>
        <w:t xml:space="preserve"> sistemai, o ne tik LEADER.</w:t>
      </w:r>
    </w:p>
    <w:p w14:paraId="0984CE0E" w14:textId="77777777" w:rsidR="00CE519E" w:rsidRPr="00CE519E" w:rsidRDefault="00CE519E" w:rsidP="00CE519E">
      <w:pPr>
        <w:jc w:val="both"/>
        <w:rPr>
          <w:rFonts w:ascii="Arial" w:hAnsi="Arial" w:cs="Arial"/>
          <w:lang w:val="lt-LT"/>
        </w:rPr>
      </w:pPr>
      <w:r w:rsidRPr="00CE519E">
        <w:rPr>
          <w:rFonts w:ascii="Arial" w:hAnsi="Arial" w:cs="Arial"/>
          <w:lang w:val="lt-LT"/>
        </w:rPr>
        <w:lastRenderedPageBreak/>
        <w:t>Kadangi Fondą nustatančiame reglamente ir toliau išlieka du atskiri straipsniai (76 ir 77), pagrįstai kyla rizika, kad nacionalinės valdymo institucijos ir mokėjimo agentūros sukurs dvi lygiagrečias taisyklių ir kontrolės sistemas:</w:t>
      </w:r>
    </w:p>
    <w:p w14:paraId="46E1B00C" w14:textId="3B3C26C8" w:rsidR="00CE519E" w:rsidRPr="00CE519E" w:rsidRDefault="00CE519E" w:rsidP="00CE519E">
      <w:pPr>
        <w:numPr>
          <w:ilvl w:val="0"/>
          <w:numId w:val="6"/>
        </w:numPr>
        <w:jc w:val="both"/>
        <w:rPr>
          <w:rFonts w:ascii="Arial" w:hAnsi="Arial" w:cs="Arial"/>
          <w:lang w:val="lt-LT"/>
        </w:rPr>
      </w:pPr>
      <w:r w:rsidRPr="00CE519E">
        <w:rPr>
          <w:rFonts w:ascii="Arial" w:hAnsi="Arial" w:cs="Arial"/>
          <w:lang w:val="lt-LT"/>
        </w:rPr>
        <w:t xml:space="preserve">vieną projektams, įgyvendinamiems kaip </w:t>
      </w:r>
      <w:r>
        <w:rPr>
          <w:rFonts w:ascii="Arial" w:hAnsi="Arial" w:cs="Arial"/>
          <w:b/>
          <w:bCs/>
          <w:lang w:val="lt-LT"/>
        </w:rPr>
        <w:t>BIVP</w:t>
      </w:r>
      <w:r w:rsidRPr="00CE519E">
        <w:rPr>
          <w:rFonts w:ascii="Arial" w:hAnsi="Arial" w:cs="Arial"/>
          <w:lang w:val="lt-LT"/>
        </w:rPr>
        <w:t xml:space="preserve"> (pavyzdžiui, finansuojamiems iš ERPF ar ESF+ sanglaudos fondų);</w:t>
      </w:r>
    </w:p>
    <w:p w14:paraId="5B2BA8B4" w14:textId="77777777" w:rsidR="00CE519E" w:rsidRPr="00CE519E" w:rsidRDefault="00CE519E" w:rsidP="00CE519E">
      <w:pPr>
        <w:numPr>
          <w:ilvl w:val="0"/>
          <w:numId w:val="6"/>
        </w:numPr>
        <w:jc w:val="both"/>
        <w:rPr>
          <w:rFonts w:ascii="Arial" w:hAnsi="Arial" w:cs="Arial"/>
          <w:lang w:val="lt-LT"/>
        </w:rPr>
      </w:pPr>
      <w:r w:rsidRPr="00CE519E">
        <w:rPr>
          <w:rFonts w:ascii="Arial" w:hAnsi="Arial" w:cs="Arial"/>
          <w:lang w:val="lt-LT"/>
        </w:rPr>
        <w:t xml:space="preserve">kitą – </w:t>
      </w:r>
      <w:r w:rsidRPr="00CE519E">
        <w:rPr>
          <w:rFonts w:ascii="Arial" w:hAnsi="Arial" w:cs="Arial"/>
          <w:b/>
          <w:bCs/>
          <w:lang w:val="lt-LT"/>
        </w:rPr>
        <w:t>LEADER</w:t>
      </w:r>
      <w:r w:rsidRPr="00CE519E">
        <w:rPr>
          <w:rFonts w:ascii="Arial" w:hAnsi="Arial" w:cs="Arial"/>
          <w:lang w:val="lt-LT"/>
        </w:rPr>
        <w:t xml:space="preserve"> projektams, finansuojamiems pagal BŽŪP.</w:t>
      </w:r>
    </w:p>
    <w:p w14:paraId="34F3F442"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Tai paneigtų Europos Sąjungos pažadus supaprastinti sistemą ir taikyti </w:t>
      </w:r>
      <w:r w:rsidRPr="00CE519E">
        <w:rPr>
          <w:rFonts w:ascii="Arial" w:hAnsi="Arial" w:cs="Arial"/>
          <w:b/>
          <w:bCs/>
          <w:lang w:val="lt-LT"/>
        </w:rPr>
        <w:t>vieningą taisyklių rinkinį (</w:t>
      </w:r>
      <w:proofErr w:type="spellStart"/>
      <w:r w:rsidRPr="00CE519E">
        <w:rPr>
          <w:rFonts w:ascii="Arial" w:hAnsi="Arial" w:cs="Arial"/>
          <w:b/>
          <w:bCs/>
          <w:lang w:val="lt-LT"/>
        </w:rPr>
        <w:t>single</w:t>
      </w:r>
      <w:proofErr w:type="spellEnd"/>
      <w:r w:rsidRPr="00CE519E">
        <w:rPr>
          <w:rFonts w:ascii="Arial" w:hAnsi="Arial" w:cs="Arial"/>
          <w:b/>
          <w:bCs/>
          <w:lang w:val="lt-LT"/>
        </w:rPr>
        <w:t xml:space="preserve"> </w:t>
      </w:r>
      <w:proofErr w:type="spellStart"/>
      <w:r w:rsidRPr="00CE519E">
        <w:rPr>
          <w:rFonts w:ascii="Arial" w:hAnsi="Arial" w:cs="Arial"/>
          <w:b/>
          <w:bCs/>
          <w:lang w:val="lt-LT"/>
        </w:rPr>
        <w:t>rulebook</w:t>
      </w:r>
      <w:proofErr w:type="spellEnd"/>
      <w:r w:rsidRPr="00CE519E">
        <w:rPr>
          <w:rFonts w:ascii="Arial" w:hAnsi="Arial" w:cs="Arial"/>
          <w:b/>
          <w:bCs/>
          <w:lang w:val="lt-LT"/>
        </w:rPr>
        <w:t>).</w:t>
      </w:r>
    </w:p>
    <w:p w14:paraId="0DEE4CEA"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35. Taip pat verta pažymėti, kad teisėkūros požiūriu 77 straipsnio palikimas Fondą nustatančiame reglamente atrodo nenuoseklus.</w:t>
      </w:r>
    </w:p>
    <w:p w14:paraId="0A0964AF" w14:textId="77777777" w:rsidR="00CE519E" w:rsidRPr="00CE519E" w:rsidRDefault="00CE519E" w:rsidP="00CE519E">
      <w:pPr>
        <w:jc w:val="both"/>
        <w:rPr>
          <w:rFonts w:ascii="Arial" w:hAnsi="Arial" w:cs="Arial"/>
          <w:lang w:val="lt-LT"/>
        </w:rPr>
      </w:pPr>
      <w:r w:rsidRPr="00CE519E">
        <w:rPr>
          <w:rFonts w:ascii="Arial" w:hAnsi="Arial" w:cs="Arial"/>
          <w:lang w:val="lt-LT"/>
        </w:rPr>
        <w:t>Šiuo metu 77 straipsnis susijęs tik su BŽŪP.</w:t>
      </w:r>
    </w:p>
    <w:p w14:paraId="25683F7A" w14:textId="77777777" w:rsidR="00CE519E" w:rsidRPr="00CE519E" w:rsidRDefault="00CE519E" w:rsidP="00CE519E">
      <w:pPr>
        <w:jc w:val="both"/>
        <w:rPr>
          <w:rFonts w:ascii="Arial" w:hAnsi="Arial" w:cs="Arial"/>
          <w:lang w:val="lt-LT"/>
        </w:rPr>
      </w:pPr>
      <w:r w:rsidRPr="00CE519E">
        <w:rPr>
          <w:rFonts w:ascii="Arial" w:hAnsi="Arial" w:cs="Arial"/>
          <w:lang w:val="lt-LT"/>
        </w:rPr>
        <w:t>Jeigu kitomis Europos Parlamento pataisomis siekiama visas tik BŽŪP skirtas nuostatas perkelti į BŽŪP reglamentą, sunku suprasti, kodėl dabartinės redakcijos 77 straipsnis ir toliau lieka Fondą nustatančiame reglamente.</w:t>
      </w:r>
    </w:p>
    <w:p w14:paraId="2B58041D" w14:textId="77777777" w:rsidR="00CE519E" w:rsidRPr="00CE519E" w:rsidRDefault="00CE519E" w:rsidP="00CE519E">
      <w:pPr>
        <w:jc w:val="both"/>
        <w:rPr>
          <w:rFonts w:ascii="Arial" w:hAnsi="Arial" w:cs="Arial"/>
          <w:lang w:val="lt-LT"/>
        </w:rPr>
      </w:pPr>
      <w:r w:rsidRPr="00CE519E">
        <w:rPr>
          <w:rFonts w:ascii="Arial" w:hAnsi="Arial" w:cs="Arial"/>
          <w:lang w:val="lt-LT"/>
        </w:rPr>
        <w:t>Sisteminiu požiūriu tokį sprendimą sunku pagrįsti, nes šio straipsnio reguliavimo dalykas susijęs tik su viena sektorine politika.</w:t>
      </w:r>
    </w:p>
    <w:p w14:paraId="6AA28960" w14:textId="1A022FB9" w:rsidR="00CE519E" w:rsidRPr="00CE519E" w:rsidRDefault="00CE519E" w:rsidP="00CE519E">
      <w:pPr>
        <w:jc w:val="both"/>
        <w:rPr>
          <w:rFonts w:ascii="Arial" w:hAnsi="Arial" w:cs="Arial"/>
          <w:lang w:val="lt-LT"/>
        </w:rPr>
      </w:pPr>
      <w:r w:rsidRPr="00CE519E">
        <w:rPr>
          <w:rFonts w:ascii="Arial" w:hAnsi="Arial" w:cs="Arial"/>
          <w:lang w:val="lt-LT"/>
        </w:rPr>
        <w:t xml:space="preserve">Toks teisėkūros sprendimas dar labiau didina neaiškumus dėl </w:t>
      </w:r>
      <w:r>
        <w:rPr>
          <w:rFonts w:ascii="Arial" w:hAnsi="Arial" w:cs="Arial"/>
          <w:lang w:val="lt-LT"/>
        </w:rPr>
        <w:t>BIVP</w:t>
      </w:r>
      <w:r w:rsidRPr="00CE519E">
        <w:rPr>
          <w:rFonts w:ascii="Arial" w:hAnsi="Arial" w:cs="Arial"/>
          <w:lang w:val="lt-LT"/>
        </w:rPr>
        <w:t xml:space="preserve"> ir LEADER tarpusavio santykio bei silpnina visos 2028–2034 m. programavimo laikotarpiui siūlomos reguliavimo sistemos nuoseklumą.</w:t>
      </w:r>
    </w:p>
    <w:p w14:paraId="787D1498" w14:textId="7C39C198" w:rsidR="00CE519E" w:rsidRPr="00CE519E" w:rsidRDefault="00CE519E" w:rsidP="00CE519E">
      <w:pPr>
        <w:jc w:val="both"/>
        <w:rPr>
          <w:rFonts w:ascii="Arial" w:hAnsi="Arial" w:cs="Arial"/>
          <w:lang w:val="lt-LT"/>
        </w:rPr>
      </w:pPr>
    </w:p>
    <w:p w14:paraId="718BFA8F" w14:textId="15C905E6"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II.7. Kiti </w:t>
      </w:r>
      <w:r>
        <w:rPr>
          <w:rFonts w:ascii="Arial" w:hAnsi="Arial" w:cs="Arial"/>
          <w:b/>
          <w:bCs/>
          <w:lang w:val="lt-LT"/>
        </w:rPr>
        <w:t>BIVP</w:t>
      </w:r>
      <w:r w:rsidRPr="00CE519E">
        <w:rPr>
          <w:rFonts w:ascii="Arial" w:hAnsi="Arial" w:cs="Arial"/>
          <w:b/>
          <w:bCs/>
          <w:lang w:val="lt-LT"/>
        </w:rPr>
        <w:t>/LEADER priemonės įgyvendinimui svarbūs klausimai</w:t>
      </w:r>
    </w:p>
    <w:p w14:paraId="22183D28"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36. Viena iš prieštaringiausiai vertinamų Komisijos pasiūlymo COM(2025) 565 nuostatų, kuriai iki šiol skirta palyginti mažai dėmesio, yra Fondą nustatančio reglamento 63 straipsnio 1 dalies f punktas.</w:t>
      </w:r>
    </w:p>
    <w:p w14:paraId="16EEEF17" w14:textId="77777777" w:rsidR="00CE519E" w:rsidRPr="00CE519E" w:rsidRDefault="00CE519E" w:rsidP="00CE519E">
      <w:pPr>
        <w:jc w:val="both"/>
        <w:rPr>
          <w:rFonts w:ascii="Arial" w:hAnsi="Arial" w:cs="Arial"/>
          <w:lang w:val="lt-LT"/>
        </w:rPr>
      </w:pPr>
      <w:r w:rsidRPr="00CE519E">
        <w:rPr>
          <w:rFonts w:ascii="Arial" w:hAnsi="Arial" w:cs="Arial"/>
          <w:lang w:val="lt-LT"/>
        </w:rPr>
        <w:t>Ši nuostata valstybėms narėms ir tiesiogiai vietos veiklos grupėms nustato duomenų rinkimo ir ataskaitų teikimo pareigas.</w:t>
      </w:r>
    </w:p>
    <w:p w14:paraId="67570ABD" w14:textId="77777777" w:rsidR="00CE519E" w:rsidRPr="00CE519E" w:rsidRDefault="00CE519E" w:rsidP="00CE519E">
      <w:pPr>
        <w:jc w:val="both"/>
        <w:rPr>
          <w:rFonts w:ascii="Arial" w:hAnsi="Arial" w:cs="Arial"/>
          <w:lang w:val="lt-LT"/>
        </w:rPr>
      </w:pPr>
      <w:r w:rsidRPr="00CE519E">
        <w:rPr>
          <w:rFonts w:ascii="Arial" w:hAnsi="Arial" w:cs="Arial"/>
          <w:lang w:val="lt-LT"/>
        </w:rPr>
        <w:t>Pagal ją VVG du kartus per metus turėtų rinkti ir teikti išsamią informaciją apie:</w:t>
      </w:r>
    </w:p>
    <w:p w14:paraId="1143D625" w14:textId="77777777" w:rsidR="00CE519E" w:rsidRPr="00CE519E" w:rsidRDefault="00CE519E" w:rsidP="00CE519E">
      <w:pPr>
        <w:numPr>
          <w:ilvl w:val="0"/>
          <w:numId w:val="7"/>
        </w:numPr>
        <w:jc w:val="both"/>
        <w:rPr>
          <w:rFonts w:ascii="Arial" w:hAnsi="Arial" w:cs="Arial"/>
          <w:lang w:val="lt-LT"/>
        </w:rPr>
      </w:pPr>
      <w:r w:rsidRPr="00CE519E">
        <w:rPr>
          <w:rFonts w:ascii="Arial" w:hAnsi="Arial" w:cs="Arial"/>
          <w:lang w:val="lt-LT"/>
        </w:rPr>
        <w:t>VVG narių skaičių pagal kategorijas, sprendimų priėmimo organų demografinę ir lyčių sudėtį, taip pat jaunimo dalyvavimo sprendimų priėmime lygį;</w:t>
      </w:r>
    </w:p>
    <w:p w14:paraId="727B08FA" w14:textId="77777777" w:rsidR="00CE519E" w:rsidRPr="00CE519E" w:rsidRDefault="00CE519E" w:rsidP="00CE519E">
      <w:pPr>
        <w:numPr>
          <w:ilvl w:val="0"/>
          <w:numId w:val="7"/>
        </w:numPr>
        <w:jc w:val="both"/>
        <w:rPr>
          <w:rFonts w:ascii="Arial" w:hAnsi="Arial" w:cs="Arial"/>
          <w:lang w:val="lt-LT"/>
        </w:rPr>
      </w:pPr>
      <w:r w:rsidRPr="00CE519E">
        <w:rPr>
          <w:rFonts w:ascii="Arial" w:hAnsi="Arial" w:cs="Arial"/>
          <w:lang w:val="lt-LT"/>
        </w:rPr>
        <w:t>įgyvendintų projektų skaičių pagal paramos gavėjų tipus ir teritorijas, atskirai nurodant inovatyvius projektus;</w:t>
      </w:r>
    </w:p>
    <w:p w14:paraId="75146038" w14:textId="77777777" w:rsidR="00CE519E" w:rsidRPr="00CE519E" w:rsidRDefault="00CE519E" w:rsidP="00CE519E">
      <w:pPr>
        <w:numPr>
          <w:ilvl w:val="0"/>
          <w:numId w:val="7"/>
        </w:numPr>
        <w:jc w:val="both"/>
        <w:rPr>
          <w:rFonts w:ascii="Arial" w:hAnsi="Arial" w:cs="Arial"/>
          <w:lang w:val="lt-LT"/>
        </w:rPr>
      </w:pPr>
      <w:r w:rsidRPr="00CE519E">
        <w:rPr>
          <w:rFonts w:ascii="Arial" w:hAnsi="Arial" w:cs="Arial"/>
          <w:lang w:val="lt-LT"/>
        </w:rPr>
        <w:lastRenderedPageBreak/>
        <w:t>tikslias ES finansinio įnašo sumas, skirtas gebėjimų stiprinimui, bendruomenių aktyvinimui, valdymui, stebėsenai ir strategijų vertinimui;</w:t>
      </w:r>
    </w:p>
    <w:p w14:paraId="29BC38DC" w14:textId="77777777" w:rsidR="00CE519E" w:rsidRPr="00CE519E" w:rsidRDefault="00CE519E" w:rsidP="00CE519E">
      <w:pPr>
        <w:numPr>
          <w:ilvl w:val="0"/>
          <w:numId w:val="7"/>
        </w:numPr>
        <w:jc w:val="both"/>
        <w:rPr>
          <w:rFonts w:ascii="Arial" w:hAnsi="Arial" w:cs="Arial"/>
          <w:lang w:val="lt-LT"/>
        </w:rPr>
      </w:pPr>
      <w:r w:rsidRPr="00CE519E">
        <w:rPr>
          <w:rFonts w:ascii="Arial" w:hAnsi="Arial" w:cs="Arial"/>
          <w:lang w:val="lt-LT"/>
        </w:rPr>
        <w:t>išsamią informaciją apie VVG teikiamą paramą regioninei plėtrai, užimtumui, socialinei politikai, bendruomenių plėtrai, pakrančių bendruomenių vystymui ir akvakultūrai.</w:t>
      </w:r>
    </w:p>
    <w:p w14:paraId="34DE14C8" w14:textId="77777777" w:rsidR="00CE519E" w:rsidRPr="00CE519E" w:rsidRDefault="00CE519E" w:rsidP="00CE519E">
      <w:pPr>
        <w:jc w:val="both"/>
        <w:rPr>
          <w:rFonts w:ascii="Arial" w:hAnsi="Arial" w:cs="Arial"/>
          <w:lang w:val="lt-LT"/>
        </w:rPr>
      </w:pPr>
      <w:r w:rsidRPr="00CE519E">
        <w:rPr>
          <w:rFonts w:ascii="Arial" w:hAnsi="Arial" w:cs="Arial"/>
          <w:lang w:val="lt-LT"/>
        </w:rPr>
        <w:t>Šie reikalavimai kartu su automatiniu duomenų perdavimu Europos Komisijai sukuria administracinę naštą, kuri prieštarauja deklaruojamam ES fondų administravimo supaprastinimo tikslui.</w:t>
      </w:r>
    </w:p>
    <w:p w14:paraId="46D013B9" w14:textId="77777777" w:rsidR="00CE519E" w:rsidRPr="00CE519E" w:rsidRDefault="00CE519E" w:rsidP="00CE519E">
      <w:pPr>
        <w:jc w:val="both"/>
        <w:rPr>
          <w:rFonts w:ascii="Arial" w:hAnsi="Arial" w:cs="Arial"/>
          <w:lang w:val="lt-LT"/>
        </w:rPr>
      </w:pPr>
      <w:r w:rsidRPr="00CE519E">
        <w:rPr>
          <w:rFonts w:ascii="Arial" w:hAnsi="Arial" w:cs="Arial"/>
          <w:lang w:val="lt-LT"/>
        </w:rPr>
        <w:t>Taip pat sunku suprasti, kodėl viešojo administravimo institucijoms reikėtų nuolat atnaujinamos informacijos apie VVG narių skaičių ar jų organizacinę struktūrą.</w:t>
      </w:r>
    </w:p>
    <w:p w14:paraId="37917C98" w14:textId="77777777" w:rsidR="00CE519E" w:rsidRPr="00CE519E" w:rsidRDefault="00CE519E" w:rsidP="00CE519E">
      <w:pPr>
        <w:jc w:val="both"/>
        <w:rPr>
          <w:rFonts w:ascii="Arial" w:hAnsi="Arial" w:cs="Arial"/>
          <w:lang w:val="lt-LT"/>
        </w:rPr>
      </w:pPr>
      <w:r w:rsidRPr="00CE519E">
        <w:rPr>
          <w:rFonts w:ascii="Arial" w:hAnsi="Arial" w:cs="Arial"/>
          <w:lang w:val="lt-LT"/>
        </w:rPr>
        <w:t>Tai atrodo dar vienas pavyzdys, kai informacija renkama neaiškiam ir nekonkrečiam tikslui („galbūt kada nors pravers“), o tai prieštarauja pačios Komisijos kituose teisės aktuose propaguojamiems principams, įskaitant principą nerinkti perteklinių asmens duomenų nei iš privačių subjektų, nei iš viešojo administravimo institucijų.</w:t>
      </w:r>
    </w:p>
    <w:p w14:paraId="6365ABA2"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37. Kitas dėmesio vertas klausimas susijęs su nuostatomis, kuriomis siekiama iš dalies atsisakyti pernelyg centralizuoto fondų valdymo modelio.</w:t>
      </w:r>
    </w:p>
    <w:p w14:paraId="4E764C94" w14:textId="77777777" w:rsidR="00CE519E" w:rsidRPr="00CE519E" w:rsidRDefault="00CE519E" w:rsidP="00CE519E">
      <w:pPr>
        <w:jc w:val="both"/>
        <w:rPr>
          <w:rFonts w:ascii="Arial" w:hAnsi="Arial" w:cs="Arial"/>
          <w:lang w:val="lt-LT"/>
        </w:rPr>
      </w:pPr>
      <w:r w:rsidRPr="00CE519E">
        <w:rPr>
          <w:rFonts w:ascii="Arial" w:hAnsi="Arial" w:cs="Arial"/>
          <w:lang w:val="lt-LT"/>
        </w:rPr>
        <w:t>Europos Parlamentas bandė sumažinti riziką, kad pagal vieną NRP planą ES fondų valdymas pernelyg susikoncentruos nacionalinių vyriausybių rankose.</w:t>
      </w:r>
    </w:p>
    <w:p w14:paraId="2B64A4BB"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Pagrindinė tam skirta priemonė – į Fondą nustatantį reglamentą įtraukiamas naujas </w:t>
      </w:r>
      <w:r w:rsidRPr="00CE519E">
        <w:rPr>
          <w:rFonts w:ascii="Arial" w:hAnsi="Arial" w:cs="Arial"/>
          <w:b/>
          <w:bCs/>
          <w:lang w:val="lt-LT"/>
        </w:rPr>
        <w:t>9a straipsnis</w:t>
      </w:r>
      <w:r w:rsidRPr="00CE519E">
        <w:rPr>
          <w:rFonts w:ascii="Arial" w:hAnsi="Arial" w:cs="Arial"/>
          <w:lang w:val="lt-LT"/>
        </w:rPr>
        <w:t xml:space="preserve">, nustatantis naują horizontaliąją sąlygą </w:t>
      </w:r>
      <w:r w:rsidRPr="00CE519E">
        <w:rPr>
          <w:rFonts w:ascii="Arial" w:hAnsi="Arial" w:cs="Arial"/>
          <w:b/>
          <w:bCs/>
          <w:lang w:val="lt-LT"/>
        </w:rPr>
        <w:t>„Partnerystės ir daugiapakopio valdymo principų laikymasis“</w:t>
      </w:r>
      <w:r w:rsidRPr="00CE519E">
        <w:rPr>
          <w:rFonts w:ascii="Arial" w:hAnsi="Arial" w:cs="Arial"/>
          <w:lang w:val="lt-LT"/>
        </w:rPr>
        <w:t>.</w:t>
      </w:r>
    </w:p>
    <w:p w14:paraId="4F10610A" w14:textId="77777777" w:rsidR="00CE519E" w:rsidRPr="00CE519E" w:rsidRDefault="00CE519E" w:rsidP="00CE519E">
      <w:pPr>
        <w:jc w:val="both"/>
        <w:rPr>
          <w:rFonts w:ascii="Arial" w:hAnsi="Arial" w:cs="Arial"/>
          <w:lang w:val="lt-LT"/>
        </w:rPr>
      </w:pPr>
      <w:r w:rsidRPr="00CE519E">
        <w:rPr>
          <w:rFonts w:ascii="Arial" w:hAnsi="Arial" w:cs="Arial"/>
          <w:lang w:val="lt-LT"/>
        </w:rPr>
        <w:t>Ši nuostata įpareigoja valstybes nares užtikrinti, kad sprendimai būtų priimami kuo arčiau piliečių, taikant teritoriniu požiūriu grindžiamą metodą, o kompetencijos būtų įgyvendinamos tinkamiausiu lygmeniu.</w:t>
      </w:r>
    </w:p>
    <w:p w14:paraId="4267A4EF" w14:textId="77777777" w:rsidR="00CE519E" w:rsidRPr="00CE519E" w:rsidRDefault="00CE519E" w:rsidP="00CE519E">
      <w:pPr>
        <w:jc w:val="both"/>
        <w:rPr>
          <w:rFonts w:ascii="Arial" w:hAnsi="Arial" w:cs="Arial"/>
          <w:lang w:val="lt-LT"/>
        </w:rPr>
      </w:pPr>
      <w:r w:rsidRPr="00CE519E">
        <w:rPr>
          <w:rFonts w:ascii="Arial" w:hAnsi="Arial" w:cs="Arial"/>
          <w:lang w:val="lt-LT"/>
        </w:rPr>
        <w:t xml:space="preserve">Be to, </w:t>
      </w:r>
      <w:r w:rsidRPr="00CE519E">
        <w:rPr>
          <w:rFonts w:ascii="Arial" w:hAnsi="Arial" w:cs="Arial"/>
          <w:b/>
          <w:bCs/>
          <w:lang w:val="lt-LT"/>
        </w:rPr>
        <w:t>275 pataisa</w:t>
      </w:r>
      <w:r w:rsidRPr="00CE519E">
        <w:rPr>
          <w:rFonts w:ascii="Arial" w:hAnsi="Arial" w:cs="Arial"/>
          <w:lang w:val="lt-LT"/>
        </w:rPr>
        <w:t xml:space="preserve"> (dėl Fondą nustatančio reglamento 49 straipsnio 1a dalies) aiškiai numato regioninių ir vietos valdymo institucijų dalyvavimą rengiant, įgyvendinant, stebint ir vertinant NRP plano teritorinius skyrius.</w:t>
      </w:r>
    </w:p>
    <w:p w14:paraId="1D2F38AC" w14:textId="77777777" w:rsidR="00CE519E" w:rsidRPr="00CE519E" w:rsidRDefault="00CE519E" w:rsidP="00CE519E">
      <w:pPr>
        <w:jc w:val="both"/>
        <w:rPr>
          <w:rFonts w:ascii="Arial" w:hAnsi="Arial" w:cs="Arial"/>
          <w:lang w:val="lt-LT"/>
        </w:rPr>
      </w:pPr>
      <w:r w:rsidRPr="00CE519E">
        <w:rPr>
          <w:rFonts w:ascii="Arial" w:hAnsi="Arial" w:cs="Arial"/>
          <w:lang w:val="lt-LT"/>
        </w:rPr>
        <w:t>Regioninėms valdymo institucijoms suteikiama teisė palaikyti tiesioginius darbo ryšius su Europos Komisija, apeinant centrinę koordinavimo funkciją.</w:t>
      </w:r>
    </w:p>
    <w:p w14:paraId="379DDBC7" w14:textId="77777777" w:rsidR="00CE519E" w:rsidRPr="00CE519E" w:rsidRDefault="00CE519E" w:rsidP="00CE519E">
      <w:pPr>
        <w:jc w:val="both"/>
        <w:rPr>
          <w:rFonts w:ascii="Arial" w:hAnsi="Arial" w:cs="Arial"/>
          <w:lang w:val="lt-LT"/>
        </w:rPr>
      </w:pPr>
      <w:r w:rsidRPr="00CE519E">
        <w:rPr>
          <w:rFonts w:ascii="Arial" w:hAnsi="Arial" w:cs="Arial"/>
          <w:lang w:val="lt-LT"/>
        </w:rPr>
        <w:t>Tai sumažina riziką, kad ES fondų valdymą visiškai kontroliuos centrinės valdžios institucijos.</w:t>
      </w:r>
    </w:p>
    <w:p w14:paraId="3E052B19" w14:textId="77777777" w:rsidR="00CE519E" w:rsidRPr="00CE519E" w:rsidRDefault="00CE519E" w:rsidP="00CE519E">
      <w:pPr>
        <w:jc w:val="both"/>
        <w:rPr>
          <w:rFonts w:ascii="Arial" w:hAnsi="Arial" w:cs="Arial"/>
          <w:lang w:val="lt-LT"/>
        </w:rPr>
      </w:pPr>
      <w:r w:rsidRPr="00CE519E">
        <w:rPr>
          <w:rFonts w:ascii="Arial" w:hAnsi="Arial" w:cs="Arial"/>
          <w:lang w:val="lt-LT"/>
        </w:rPr>
        <w:t>Taip pat sustiprinamas stebėsenos komitetų vaidmuo.</w:t>
      </w:r>
    </w:p>
    <w:p w14:paraId="675334B2" w14:textId="77777777" w:rsidR="00CE519E" w:rsidRPr="00CE519E" w:rsidRDefault="00CE519E" w:rsidP="00CE519E">
      <w:pPr>
        <w:jc w:val="both"/>
        <w:rPr>
          <w:rFonts w:ascii="Arial" w:hAnsi="Arial" w:cs="Arial"/>
          <w:lang w:val="lt-LT"/>
        </w:rPr>
      </w:pPr>
      <w:r w:rsidRPr="00CE519E">
        <w:rPr>
          <w:rFonts w:ascii="Arial" w:hAnsi="Arial" w:cs="Arial"/>
          <w:b/>
          <w:bCs/>
          <w:lang w:val="lt-LT"/>
        </w:rPr>
        <w:t>320 pataisa</w:t>
      </w:r>
      <w:r w:rsidRPr="00CE519E">
        <w:rPr>
          <w:rFonts w:ascii="Arial" w:hAnsi="Arial" w:cs="Arial"/>
          <w:lang w:val="lt-LT"/>
        </w:rPr>
        <w:t xml:space="preserve"> Fondą nustatančio reglamento projektui numato įsteigti vieną nacionalinį stebėsenos komitetą, kuris veiktų per regioninius ir teminius pakomitečius, įskaitant atskirą BŽŪP ir teritorinės plėtros pakomitetį.</w:t>
      </w:r>
    </w:p>
    <w:p w14:paraId="7E198FF7" w14:textId="3CD03148" w:rsidR="00CE519E" w:rsidRPr="00CE519E" w:rsidRDefault="00CE519E" w:rsidP="00CE519E">
      <w:pPr>
        <w:jc w:val="both"/>
        <w:rPr>
          <w:rFonts w:ascii="Arial" w:hAnsi="Arial" w:cs="Arial"/>
          <w:lang w:val="lt-LT"/>
        </w:rPr>
      </w:pPr>
      <w:r w:rsidRPr="00CE519E">
        <w:rPr>
          <w:rFonts w:ascii="Arial" w:hAnsi="Arial" w:cs="Arial"/>
          <w:lang w:val="lt-LT"/>
        </w:rPr>
        <w:lastRenderedPageBreak/>
        <w:t xml:space="preserve">Tai turėtų sudaryti geresnes sąlygas tiesioginiam VVG dalyvavimui stebint </w:t>
      </w:r>
      <w:r>
        <w:rPr>
          <w:rFonts w:ascii="Arial" w:hAnsi="Arial" w:cs="Arial"/>
          <w:lang w:val="lt-LT"/>
        </w:rPr>
        <w:t>BIVP</w:t>
      </w:r>
      <w:r w:rsidRPr="00CE519E">
        <w:rPr>
          <w:rFonts w:ascii="Arial" w:hAnsi="Arial" w:cs="Arial"/>
          <w:lang w:val="lt-LT"/>
        </w:rPr>
        <w:t>/LEADER tikslų įgyvendinimą ir juos keičiant.</w:t>
      </w:r>
    </w:p>
    <w:p w14:paraId="35B4E7E0" w14:textId="779338D3" w:rsidR="00CE519E" w:rsidRPr="00CE519E" w:rsidRDefault="00CE519E" w:rsidP="00CE519E">
      <w:pPr>
        <w:jc w:val="both"/>
        <w:rPr>
          <w:rFonts w:ascii="Arial" w:hAnsi="Arial" w:cs="Arial"/>
          <w:b/>
          <w:bCs/>
          <w:lang w:val="lt-LT"/>
        </w:rPr>
      </w:pPr>
      <w:r w:rsidRPr="00CE519E">
        <w:rPr>
          <w:rFonts w:ascii="Arial" w:hAnsi="Arial" w:cs="Arial"/>
          <w:b/>
          <w:bCs/>
          <w:lang w:val="lt-LT"/>
        </w:rPr>
        <w:t xml:space="preserve">38. Finansų srityje Europos Parlamentas pasiūlė pataisas, kurios teritorines programas, įskaitant </w:t>
      </w:r>
      <w:r>
        <w:rPr>
          <w:rFonts w:ascii="Arial" w:hAnsi="Arial" w:cs="Arial"/>
          <w:b/>
          <w:bCs/>
          <w:lang w:val="lt-LT"/>
        </w:rPr>
        <w:t>BIVP</w:t>
      </w:r>
      <w:r w:rsidRPr="00CE519E">
        <w:rPr>
          <w:rFonts w:ascii="Arial" w:hAnsi="Arial" w:cs="Arial"/>
          <w:b/>
          <w:bCs/>
          <w:lang w:val="lt-LT"/>
        </w:rPr>
        <w:t xml:space="preserve"> ir LEADER, daro patrauklesnes nacionalinių biudžetų planuotojams.</w:t>
      </w:r>
    </w:p>
    <w:p w14:paraId="78303AA3" w14:textId="77777777" w:rsidR="00CE519E" w:rsidRPr="00CE519E" w:rsidRDefault="00CE519E" w:rsidP="00CE519E">
      <w:pPr>
        <w:numPr>
          <w:ilvl w:val="0"/>
          <w:numId w:val="8"/>
        </w:numPr>
        <w:jc w:val="both"/>
        <w:rPr>
          <w:rFonts w:ascii="Arial" w:hAnsi="Arial" w:cs="Arial"/>
          <w:lang w:val="lt-LT"/>
        </w:rPr>
      </w:pPr>
      <w:r w:rsidRPr="00CE519E">
        <w:rPr>
          <w:rFonts w:ascii="Arial" w:hAnsi="Arial" w:cs="Arial"/>
          <w:b/>
          <w:bCs/>
          <w:lang w:val="lt-LT"/>
        </w:rPr>
        <w:t>LEADER finansavimo rezervavimas.</w:t>
      </w:r>
      <w:r w:rsidRPr="00CE519E">
        <w:rPr>
          <w:rFonts w:ascii="Arial" w:hAnsi="Arial" w:cs="Arial"/>
          <w:lang w:val="lt-LT"/>
        </w:rPr>
        <w:t xml:space="preserve"> Europos Parlamento pataisos (116 pataisa) nustato privalomą reikalavimą ne mažiau kaip </w:t>
      </w:r>
      <w:r w:rsidRPr="00CE519E">
        <w:rPr>
          <w:rFonts w:ascii="Arial" w:hAnsi="Arial" w:cs="Arial"/>
          <w:b/>
          <w:bCs/>
          <w:lang w:val="lt-LT"/>
        </w:rPr>
        <w:t>5 proc.</w:t>
      </w:r>
      <w:r w:rsidRPr="00CE519E">
        <w:rPr>
          <w:rFonts w:ascii="Arial" w:hAnsi="Arial" w:cs="Arial"/>
          <w:lang w:val="lt-LT"/>
        </w:rPr>
        <w:t xml:space="preserve"> visų kaimo plėtrai skirtų lėšų (93 pataisa jas nustato </w:t>
      </w:r>
      <w:r w:rsidRPr="00CE519E">
        <w:rPr>
          <w:rFonts w:ascii="Arial" w:hAnsi="Arial" w:cs="Arial"/>
          <w:b/>
          <w:bCs/>
          <w:lang w:val="lt-LT"/>
        </w:rPr>
        <w:t>106 410 000 000 eurų</w:t>
      </w:r>
      <w:r w:rsidRPr="00CE519E">
        <w:rPr>
          <w:rFonts w:ascii="Arial" w:hAnsi="Arial" w:cs="Arial"/>
          <w:lang w:val="lt-LT"/>
        </w:rPr>
        <w:t xml:space="preserve"> dydžio) skirti tik LEADER programai finansuoti.</w:t>
      </w:r>
    </w:p>
    <w:p w14:paraId="6D467D3E" w14:textId="5ED23358" w:rsidR="00CE519E" w:rsidRPr="00CE519E" w:rsidRDefault="00CE519E" w:rsidP="00CE519E">
      <w:pPr>
        <w:numPr>
          <w:ilvl w:val="0"/>
          <w:numId w:val="8"/>
        </w:numPr>
        <w:jc w:val="both"/>
        <w:rPr>
          <w:rFonts w:ascii="Arial" w:hAnsi="Arial" w:cs="Arial"/>
          <w:lang w:val="lt-LT"/>
        </w:rPr>
      </w:pPr>
      <w:r>
        <w:rPr>
          <w:rFonts w:ascii="Arial" w:hAnsi="Arial" w:cs="Arial"/>
          <w:b/>
          <w:bCs/>
          <w:lang w:val="lt-LT"/>
        </w:rPr>
        <w:t>BIVP</w:t>
      </w:r>
      <w:r w:rsidRPr="00CE519E">
        <w:rPr>
          <w:rFonts w:ascii="Arial" w:hAnsi="Arial" w:cs="Arial"/>
          <w:b/>
          <w:bCs/>
          <w:lang w:val="lt-LT"/>
        </w:rPr>
        <w:t xml:space="preserve"> bendrojo finansavimo priedas.</w:t>
      </w:r>
      <w:r w:rsidRPr="00CE519E">
        <w:rPr>
          <w:rFonts w:ascii="Arial" w:hAnsi="Arial" w:cs="Arial"/>
          <w:lang w:val="lt-LT"/>
        </w:rPr>
        <w:t xml:space="preserve"> 133 pataisa, susijusi su Fondą nustatančio reglamento 20 straipsnio 3a dalimi, numato galimybę projektams, įgyvendinamiems pagal 75 straipsnį (Integruota teritorinė plėtra) ir 76 straipsnį (</w:t>
      </w:r>
      <w:r>
        <w:rPr>
          <w:rFonts w:ascii="Arial" w:hAnsi="Arial" w:cs="Arial"/>
          <w:lang w:val="lt-LT"/>
        </w:rPr>
        <w:t>BIVP</w:t>
      </w:r>
      <w:r w:rsidRPr="00CE519E">
        <w:rPr>
          <w:rFonts w:ascii="Arial" w:hAnsi="Arial" w:cs="Arial"/>
          <w:lang w:val="lt-LT"/>
        </w:rPr>
        <w:t xml:space="preserve">), nacionalinio bendrojo finansavimo normą sumažinti </w:t>
      </w:r>
      <w:r w:rsidRPr="00CE519E">
        <w:rPr>
          <w:rFonts w:ascii="Arial" w:hAnsi="Arial" w:cs="Arial"/>
          <w:b/>
          <w:bCs/>
          <w:lang w:val="lt-LT"/>
        </w:rPr>
        <w:t>10 procentinių punktų</w:t>
      </w:r>
      <w:r w:rsidRPr="00CE519E">
        <w:rPr>
          <w:rFonts w:ascii="Arial" w:hAnsi="Arial" w:cs="Arial"/>
          <w:lang w:val="lt-LT"/>
        </w:rPr>
        <w:t>.</w:t>
      </w:r>
    </w:p>
    <w:p w14:paraId="443FA171" w14:textId="77777777" w:rsidR="00CE519E" w:rsidRPr="00CE519E" w:rsidRDefault="00CE519E" w:rsidP="00CE519E">
      <w:pPr>
        <w:numPr>
          <w:ilvl w:val="0"/>
          <w:numId w:val="8"/>
        </w:numPr>
        <w:jc w:val="both"/>
        <w:rPr>
          <w:rFonts w:ascii="Arial" w:hAnsi="Arial" w:cs="Arial"/>
          <w:lang w:val="lt-LT"/>
        </w:rPr>
      </w:pPr>
      <w:r w:rsidRPr="00CE519E">
        <w:rPr>
          <w:rFonts w:ascii="Arial" w:hAnsi="Arial" w:cs="Arial"/>
          <w:b/>
          <w:bCs/>
          <w:lang w:val="lt-LT"/>
        </w:rPr>
        <w:t>Palankesnis LEADER finansavimo tarifas.</w:t>
      </w:r>
      <w:r w:rsidRPr="00CE519E">
        <w:rPr>
          <w:rFonts w:ascii="Arial" w:hAnsi="Arial" w:cs="Arial"/>
          <w:lang w:val="lt-LT"/>
        </w:rPr>
        <w:t xml:space="preserve"> 248 pataisa dėl Fondą nustatančio reglamento 35 straipsnio 4a dalies b punkto nustato, kad minimalus nacionalinis LEADER bendrojo finansavimo dydis sudaro </w:t>
      </w:r>
      <w:r w:rsidRPr="00CE519E">
        <w:rPr>
          <w:rFonts w:ascii="Arial" w:hAnsi="Arial" w:cs="Arial"/>
          <w:b/>
          <w:bCs/>
          <w:lang w:val="lt-LT"/>
        </w:rPr>
        <w:t>20 proc. viešųjų išlaidų</w:t>
      </w:r>
      <w:r w:rsidRPr="00CE519E">
        <w:rPr>
          <w:rFonts w:ascii="Arial" w:hAnsi="Arial" w:cs="Arial"/>
          <w:lang w:val="lt-LT"/>
        </w:rPr>
        <w:t>.</w:t>
      </w:r>
    </w:p>
    <w:p w14:paraId="582157DF" w14:textId="77777777" w:rsidR="00CE519E" w:rsidRPr="00CE519E" w:rsidRDefault="00CE519E" w:rsidP="00CE519E">
      <w:pPr>
        <w:jc w:val="both"/>
        <w:rPr>
          <w:rFonts w:ascii="Arial" w:hAnsi="Arial" w:cs="Arial"/>
          <w:lang w:val="lt-LT"/>
        </w:rPr>
      </w:pPr>
      <w:r w:rsidRPr="00CE519E">
        <w:rPr>
          <w:rFonts w:ascii="Arial" w:hAnsi="Arial" w:cs="Arial"/>
          <w:lang w:val="lt-LT"/>
        </w:rPr>
        <w:t>Praktiškai tai reiškia, kad valstybė narė LEADER projektams, įgyvendinamiems VVG, turėtų skirti mažesnį nacionalinį finansavimą nei įprastiems sanglaudos politikos projektams, kuriems pereinamojo laikotarpio regionuose nacionalinis prisidėjimas siekia 40 proc., o labiau išsivysčiusiuose regionuose – net 60 proc.</w:t>
      </w:r>
    </w:p>
    <w:p w14:paraId="1234EE77" w14:textId="77777777" w:rsidR="00CE519E" w:rsidRPr="00CE519E" w:rsidRDefault="00CE519E" w:rsidP="00CE519E">
      <w:pPr>
        <w:jc w:val="both"/>
        <w:rPr>
          <w:rFonts w:ascii="Arial" w:hAnsi="Arial" w:cs="Arial"/>
          <w:lang w:val="lt-LT"/>
        </w:rPr>
      </w:pPr>
      <w:r w:rsidRPr="00CE519E">
        <w:rPr>
          <w:rFonts w:ascii="Arial" w:hAnsi="Arial" w:cs="Arial"/>
          <w:lang w:val="lt-LT"/>
        </w:rPr>
        <w:t>Pirmiau aprašyti finansiniai mechanizmai apsaugo LEADER nuo nacionalinio lygmens biudžeto mažinimo ir skatina valstybes plačiau taikyti teritorines paramos formas.</w:t>
      </w:r>
    </w:p>
    <w:p w14:paraId="13AD06A7" w14:textId="6807544B" w:rsidR="00CE519E" w:rsidRPr="00CE519E" w:rsidRDefault="00CE519E" w:rsidP="00CE519E">
      <w:pPr>
        <w:jc w:val="both"/>
        <w:rPr>
          <w:rFonts w:ascii="Arial" w:hAnsi="Arial" w:cs="Arial"/>
          <w:lang w:val="lt-LT"/>
        </w:rPr>
      </w:pPr>
    </w:p>
    <w:p w14:paraId="6FE4E9B7" w14:textId="77777777" w:rsidR="00CE519E" w:rsidRPr="00CE519E" w:rsidRDefault="00CE519E" w:rsidP="00CE519E">
      <w:pPr>
        <w:jc w:val="both"/>
        <w:rPr>
          <w:rFonts w:ascii="Arial" w:hAnsi="Arial" w:cs="Arial"/>
          <w:b/>
          <w:bCs/>
          <w:lang w:val="lt-LT"/>
        </w:rPr>
      </w:pPr>
      <w:r w:rsidRPr="00CE519E">
        <w:rPr>
          <w:rFonts w:ascii="Arial" w:hAnsi="Arial" w:cs="Arial"/>
          <w:b/>
          <w:bCs/>
          <w:lang w:val="lt-LT"/>
        </w:rPr>
        <w:t>III. SANTRAUKA</w:t>
      </w:r>
    </w:p>
    <w:p w14:paraId="3BE70266" w14:textId="00A54701" w:rsidR="00CE519E" w:rsidRPr="00CE519E" w:rsidRDefault="00CE519E" w:rsidP="00CE519E">
      <w:pPr>
        <w:jc w:val="both"/>
        <w:rPr>
          <w:rFonts w:ascii="Arial" w:hAnsi="Arial" w:cs="Arial"/>
          <w:lang w:val="lt-LT"/>
        </w:rPr>
      </w:pPr>
      <w:r w:rsidRPr="00CE519E">
        <w:rPr>
          <w:rFonts w:ascii="Arial" w:hAnsi="Arial" w:cs="Arial"/>
          <w:lang w:val="lt-LT"/>
        </w:rPr>
        <w:t xml:space="preserve">Vertinant </w:t>
      </w:r>
      <w:r>
        <w:rPr>
          <w:rFonts w:ascii="Arial" w:hAnsi="Arial" w:cs="Arial"/>
          <w:lang w:val="lt-LT"/>
        </w:rPr>
        <w:t>BIVP</w:t>
      </w:r>
      <w:r w:rsidRPr="00CE519E">
        <w:rPr>
          <w:rFonts w:ascii="Arial" w:hAnsi="Arial" w:cs="Arial"/>
          <w:lang w:val="lt-LT"/>
        </w:rPr>
        <w:t xml:space="preserve"> požiūriu, Europos Parlamento pasiūlytų Fondą nustatančio reglamento ir BŽŪP reglamento pakeitimų paketą reikėtų vertinti teigiamai, nors ir su reikšmingomis išlygomis.</w:t>
      </w:r>
    </w:p>
    <w:p w14:paraId="2853D2B5" w14:textId="77777777" w:rsidR="00CE519E" w:rsidRPr="00CE519E" w:rsidRDefault="00CE519E" w:rsidP="00CE519E">
      <w:pPr>
        <w:jc w:val="both"/>
        <w:rPr>
          <w:rFonts w:ascii="Arial" w:hAnsi="Arial" w:cs="Arial"/>
          <w:lang w:val="lt-LT"/>
        </w:rPr>
      </w:pPr>
      <w:r w:rsidRPr="00CE519E">
        <w:rPr>
          <w:rFonts w:ascii="Arial" w:hAnsi="Arial" w:cs="Arial"/>
          <w:lang w:val="lt-LT"/>
        </w:rPr>
        <w:t>Visų pirma pataisos užtikrina tolesnį šios priemonės veikimą ir suteikia finansinę garantiją BŽŪP sistemoje tolesniam LEADER įgyvendinimui – tai buvo vienas svarbiausių vietos veiklos grupių bendruomenės keliamų reikalavimų.</w:t>
      </w:r>
    </w:p>
    <w:p w14:paraId="32C72074" w14:textId="77777777" w:rsidR="00CE519E" w:rsidRPr="00CE519E" w:rsidRDefault="00CE519E" w:rsidP="00CE519E">
      <w:pPr>
        <w:jc w:val="both"/>
        <w:rPr>
          <w:rFonts w:ascii="Arial" w:hAnsi="Arial" w:cs="Arial"/>
          <w:lang w:val="lt-LT"/>
        </w:rPr>
      </w:pPr>
      <w:r w:rsidRPr="00CE519E">
        <w:rPr>
          <w:rFonts w:ascii="Arial" w:hAnsi="Arial" w:cs="Arial"/>
          <w:lang w:val="lt-LT"/>
        </w:rPr>
        <w:t>Pataisos taip pat numato platesnę paramos gavėjo apibrėžtį ir išplečia pagal LEADER BŽŪP sistemoje galimos paramos apimtį, taip sudarydamos galimybę išsaugoti dabartinį daugiasektorinį šios priemonės pobūdį.</w:t>
      </w:r>
    </w:p>
    <w:p w14:paraId="1C34CC8C" w14:textId="77777777" w:rsidR="00CE519E" w:rsidRPr="00CE519E" w:rsidRDefault="00CE519E" w:rsidP="00CE519E">
      <w:pPr>
        <w:jc w:val="both"/>
        <w:rPr>
          <w:rFonts w:ascii="Arial" w:hAnsi="Arial" w:cs="Arial"/>
          <w:lang w:val="lt-LT"/>
        </w:rPr>
      </w:pPr>
      <w:r w:rsidRPr="00CE519E">
        <w:rPr>
          <w:rFonts w:ascii="Arial" w:hAnsi="Arial" w:cs="Arial"/>
          <w:lang w:val="lt-LT"/>
        </w:rPr>
        <w:t>Teigiamų pokyčių matyti ir VVG kompetencijų srityje, nors Europos Parlamento pataisos nesugrąžina VVG teisės nustatyti skiriamos paramos dydį.</w:t>
      </w:r>
    </w:p>
    <w:p w14:paraId="3097D87F" w14:textId="57CA7771" w:rsidR="00CE519E" w:rsidRPr="00CE519E" w:rsidRDefault="00CE519E" w:rsidP="00CE519E">
      <w:pPr>
        <w:jc w:val="both"/>
        <w:rPr>
          <w:rFonts w:ascii="Arial" w:hAnsi="Arial" w:cs="Arial"/>
          <w:lang w:val="lt-LT"/>
        </w:rPr>
      </w:pPr>
      <w:r w:rsidRPr="00CE519E">
        <w:rPr>
          <w:rFonts w:ascii="Arial" w:hAnsi="Arial" w:cs="Arial"/>
          <w:lang w:val="lt-LT"/>
        </w:rPr>
        <w:lastRenderedPageBreak/>
        <w:t xml:space="preserve">Vis dėlto ir toliau lieka neaišku, kaip </w:t>
      </w:r>
      <w:r>
        <w:rPr>
          <w:rFonts w:ascii="Arial" w:hAnsi="Arial" w:cs="Arial"/>
          <w:lang w:val="lt-LT"/>
        </w:rPr>
        <w:t>BIVP</w:t>
      </w:r>
      <w:r w:rsidRPr="00CE519E">
        <w:rPr>
          <w:rFonts w:ascii="Arial" w:hAnsi="Arial" w:cs="Arial"/>
          <w:lang w:val="lt-LT"/>
        </w:rPr>
        <w:t xml:space="preserve"> turėtų veikti už BŽŪP sistemos ribų ir koks turėtų būti jos santykis su LEADER priemone.</w:t>
      </w:r>
    </w:p>
    <w:p w14:paraId="4C595E79" w14:textId="11A591F4" w:rsidR="00CE519E" w:rsidRPr="00CE519E" w:rsidRDefault="00CE519E" w:rsidP="00CE519E">
      <w:pPr>
        <w:jc w:val="both"/>
        <w:rPr>
          <w:rFonts w:ascii="Arial" w:hAnsi="Arial" w:cs="Arial"/>
          <w:lang w:val="lt-LT"/>
        </w:rPr>
      </w:pPr>
      <w:r w:rsidRPr="00CE519E">
        <w:rPr>
          <w:rFonts w:ascii="Arial" w:hAnsi="Arial" w:cs="Arial"/>
          <w:lang w:val="lt-LT"/>
        </w:rPr>
        <w:t xml:space="preserve">Taip pat išlieka reali rizika, kad </w:t>
      </w:r>
      <w:r>
        <w:rPr>
          <w:rFonts w:ascii="Arial" w:hAnsi="Arial" w:cs="Arial"/>
          <w:lang w:val="lt-LT"/>
        </w:rPr>
        <w:t>BIVP</w:t>
      </w:r>
      <w:r w:rsidRPr="00CE519E">
        <w:rPr>
          <w:rFonts w:ascii="Arial" w:hAnsi="Arial" w:cs="Arial"/>
          <w:lang w:val="lt-LT"/>
        </w:rPr>
        <w:t xml:space="preserve"> bus įgyvendinama pagal dviejų lygiagrečių sistemų modelį.</w:t>
      </w:r>
    </w:p>
    <w:p w14:paraId="1B8A15BC" w14:textId="1060317D" w:rsidR="00CE519E" w:rsidRPr="00CE519E" w:rsidRDefault="00CE519E" w:rsidP="00CE519E">
      <w:pPr>
        <w:jc w:val="both"/>
        <w:rPr>
          <w:rFonts w:ascii="Arial" w:hAnsi="Arial" w:cs="Arial"/>
          <w:lang w:val="lt-LT"/>
        </w:rPr>
      </w:pPr>
      <w:r w:rsidRPr="00CE519E">
        <w:rPr>
          <w:rFonts w:ascii="Arial" w:hAnsi="Arial" w:cs="Arial"/>
          <w:lang w:val="lt-LT"/>
        </w:rPr>
        <w:t xml:space="preserve">Praktikoje, nors tai jau būtų trečiasis daugiametis finansinis laikotarpis, į kurį Europos institucijos žengia deklaruodamos suderinimą, įskaitant </w:t>
      </w:r>
      <w:r>
        <w:rPr>
          <w:rFonts w:ascii="Arial" w:hAnsi="Arial" w:cs="Arial"/>
          <w:lang w:val="lt-LT"/>
        </w:rPr>
        <w:t>BIVP</w:t>
      </w:r>
      <w:r w:rsidRPr="00CE519E">
        <w:rPr>
          <w:rFonts w:ascii="Arial" w:hAnsi="Arial" w:cs="Arial"/>
          <w:lang w:val="lt-LT"/>
        </w:rPr>
        <w:t xml:space="preserve"> sistemą, siūlomos nuostatos ne tik neužtikrina pažangos šioje srityje, bet, priešingai, gali reikšti žingsnį atgal.</w:t>
      </w:r>
    </w:p>
    <w:p w14:paraId="3A6F1EA6" w14:textId="77777777" w:rsidR="00CE519E" w:rsidRPr="00CE519E" w:rsidRDefault="00CE519E" w:rsidP="00CE519E">
      <w:pPr>
        <w:jc w:val="both"/>
        <w:rPr>
          <w:rFonts w:ascii="Arial" w:hAnsi="Arial" w:cs="Arial"/>
          <w:lang w:val="lt-LT"/>
        </w:rPr>
      </w:pPr>
    </w:p>
    <w:p w14:paraId="2F0A74EA" w14:textId="77777777" w:rsidR="00122C07" w:rsidRPr="00CE519E" w:rsidRDefault="00122C07" w:rsidP="00CE519E">
      <w:pPr>
        <w:jc w:val="both"/>
        <w:rPr>
          <w:rFonts w:ascii="Arial" w:hAnsi="Arial" w:cs="Arial"/>
          <w:lang w:val="lt-LT"/>
        </w:rPr>
      </w:pPr>
    </w:p>
    <w:sectPr w:rsidR="00122C07" w:rsidRPr="00CE519E" w:rsidSect="00CE519E">
      <w:pgSz w:w="12240" w:h="15840"/>
      <w:pgMar w:top="1440" w:right="1134"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14B29"/>
    <w:multiLevelType w:val="multilevel"/>
    <w:tmpl w:val="59BE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8336B2"/>
    <w:multiLevelType w:val="multilevel"/>
    <w:tmpl w:val="072A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B72C7"/>
    <w:multiLevelType w:val="multilevel"/>
    <w:tmpl w:val="0F7E9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9F318B"/>
    <w:multiLevelType w:val="multilevel"/>
    <w:tmpl w:val="B73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6B0FBB"/>
    <w:multiLevelType w:val="multilevel"/>
    <w:tmpl w:val="59DE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970335"/>
    <w:multiLevelType w:val="multilevel"/>
    <w:tmpl w:val="660A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B742DB"/>
    <w:multiLevelType w:val="multilevel"/>
    <w:tmpl w:val="3AF2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91079E"/>
    <w:multiLevelType w:val="multilevel"/>
    <w:tmpl w:val="F23C8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9132251">
    <w:abstractNumId w:val="7"/>
  </w:num>
  <w:num w:numId="2" w16cid:durableId="1289434567">
    <w:abstractNumId w:val="6"/>
  </w:num>
  <w:num w:numId="3" w16cid:durableId="36244851">
    <w:abstractNumId w:val="2"/>
  </w:num>
  <w:num w:numId="4" w16cid:durableId="1779636628">
    <w:abstractNumId w:val="1"/>
  </w:num>
  <w:num w:numId="5" w16cid:durableId="2054384549">
    <w:abstractNumId w:val="4"/>
  </w:num>
  <w:num w:numId="6" w16cid:durableId="390007972">
    <w:abstractNumId w:val="5"/>
  </w:num>
  <w:num w:numId="7" w16cid:durableId="1610161572">
    <w:abstractNumId w:val="0"/>
  </w:num>
  <w:num w:numId="8" w16cid:durableId="377321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9E"/>
    <w:rsid w:val="000663A0"/>
    <w:rsid w:val="00122C07"/>
    <w:rsid w:val="002C7496"/>
    <w:rsid w:val="00B5129C"/>
    <w:rsid w:val="00CE5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149"/>
  <w15:chartTrackingRefBased/>
  <w15:docId w15:val="{8C9C6738-43A9-4B8D-A2CF-4FEA8F7C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19E"/>
    <w:rPr>
      <w:rFonts w:eastAsiaTheme="majorEastAsia" w:cstheme="majorBidi"/>
      <w:color w:val="272727" w:themeColor="text1" w:themeTint="D8"/>
    </w:rPr>
  </w:style>
  <w:style w:type="paragraph" w:styleId="Title">
    <w:name w:val="Title"/>
    <w:basedOn w:val="Normal"/>
    <w:next w:val="Normal"/>
    <w:link w:val="TitleChar"/>
    <w:uiPriority w:val="10"/>
    <w:qFormat/>
    <w:rsid w:val="00CE5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19E"/>
    <w:pPr>
      <w:spacing w:before="160"/>
      <w:jc w:val="center"/>
    </w:pPr>
    <w:rPr>
      <w:i/>
      <w:iCs/>
      <w:color w:val="404040" w:themeColor="text1" w:themeTint="BF"/>
    </w:rPr>
  </w:style>
  <w:style w:type="character" w:customStyle="1" w:styleId="QuoteChar">
    <w:name w:val="Quote Char"/>
    <w:basedOn w:val="DefaultParagraphFont"/>
    <w:link w:val="Quote"/>
    <w:uiPriority w:val="29"/>
    <w:rsid w:val="00CE519E"/>
    <w:rPr>
      <w:i/>
      <w:iCs/>
      <w:color w:val="404040" w:themeColor="text1" w:themeTint="BF"/>
    </w:rPr>
  </w:style>
  <w:style w:type="paragraph" w:styleId="ListParagraph">
    <w:name w:val="List Paragraph"/>
    <w:basedOn w:val="Normal"/>
    <w:uiPriority w:val="34"/>
    <w:qFormat/>
    <w:rsid w:val="00CE519E"/>
    <w:pPr>
      <w:ind w:left="720"/>
      <w:contextualSpacing/>
    </w:pPr>
  </w:style>
  <w:style w:type="character" w:styleId="IntenseEmphasis">
    <w:name w:val="Intense Emphasis"/>
    <w:basedOn w:val="DefaultParagraphFont"/>
    <w:uiPriority w:val="21"/>
    <w:qFormat/>
    <w:rsid w:val="00CE519E"/>
    <w:rPr>
      <w:i/>
      <w:iCs/>
      <w:color w:val="0F4761" w:themeColor="accent1" w:themeShade="BF"/>
    </w:rPr>
  </w:style>
  <w:style w:type="paragraph" w:styleId="IntenseQuote">
    <w:name w:val="Intense Quote"/>
    <w:basedOn w:val="Normal"/>
    <w:next w:val="Normal"/>
    <w:link w:val="IntenseQuoteChar"/>
    <w:uiPriority w:val="30"/>
    <w:qFormat/>
    <w:rsid w:val="00CE5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19E"/>
    <w:rPr>
      <w:i/>
      <w:iCs/>
      <w:color w:val="0F4761" w:themeColor="accent1" w:themeShade="BF"/>
    </w:rPr>
  </w:style>
  <w:style w:type="character" w:styleId="IntenseReference">
    <w:name w:val="Intense Reference"/>
    <w:basedOn w:val="DefaultParagraphFont"/>
    <w:uiPriority w:val="32"/>
    <w:qFormat/>
    <w:rsid w:val="00CE51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4955</Words>
  <Characters>28247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Šetkienė</dc:creator>
  <cp:keywords/>
  <dc:description/>
  <cp:lastModifiedBy>Virginija Šetkienė</cp:lastModifiedBy>
  <cp:revision>1</cp:revision>
  <dcterms:created xsi:type="dcterms:W3CDTF">2026-08-06T07:40:00Z</dcterms:created>
  <dcterms:modified xsi:type="dcterms:W3CDTF">2026-08-06T07:51:00Z</dcterms:modified>
</cp:coreProperties>
</file>